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firstLine="709"/>
        <w:spacing/>
        <w:jc w:val="both"/>
        <w:rPr>
          <w:color w:val="000000"/>
        </w:rPr>
      </w:pPr>
      <w:r>
        <w:rPr>
          <w:color w:val="000000"/>
        </w:rPr>
        <w:t>До подписания настоящего Договора найма жилого помещения в студенческом общежитии с локальными нормативными актами, действующими в Государственном бюджетном профессиональном образовательном учреждении Республики Крым «Керченский морской технический колледж» и непосредственно связанными требованиями, предъявляемыми к проживанию в общежитии, контрольно-пропускному режиму, правилами техники безопасности, пожарной и общественной безопасности, инструкцией по алгоритму действий обучающихся в случае различных видов тревог ознакомлены:</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Правилами внутреннего распорядка обучающихся ГБПОУ РК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Правилами проживания в общежитии ГБПОУ РК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порядке предоставления обучающимся жилых помещений в общежитии Государственного бюджетного профессионального образовательного учреждения Республики Крым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совете общежития ГБПОУ РК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размере платы за проживание в общежитии ГБПОУ РК «КМТК»;</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конкурсе «Лучшая комната общежития» ГБП ОУ РК «КМТК»;</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порядке посещения обучающимися мероприятий, не предусмотренных учебным планом, проводимых в ГБПОУ РК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Положением о пропускном и внутриобъектовом режимах в Государственном бюджетном профессиональном образовательном учреждении Республики Крым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Положение о поощрениях и дисциплинарных взысканиях по отношению к обучающимся ГБПОУ РК «Керченский морской технический колледж»;</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правилами техники безопасности, пожарной и общественной безопасности;</w:t>
      </w:r>
    </w:p>
    <w:p>
      <w:pPr>
        <w:pStyle w:val="para6"/>
        <w:numPr>
          <w:ilvl w:val="0"/>
          <w:numId w:val="3"/>
        </w:numPr>
        <w:ind w:left="360" w:firstLine="34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инструкцией по алгоритму действий персонала ГБПОУ РК «Керченский морской технический колледж», работников частных охранных организаций и обучающихся при совершении (угрозе совершения) преступления в формах вооруженного нападения, размещения взрывного устройства, при угрозе атаки беспилотного летательного аппарата, захвата заложников, срабатывания на территории колледжа взрывного устройства, в том числе доставленного беспилотным летательным аппаратом, нападения с использованием горючих жидкостей, а также информационного взаимодействия колледжа с территориальными органами МВД России, Росгвардии и ФСБ России.</w:t>
      </w:r>
    </w:p>
    <w:p>
      <w:pPr>
        <w:rPr>
          <w:color w:val="000000"/>
        </w:rPr>
      </w:pPr>
      <w:r>
        <w:rPr>
          <w:color w:val="000000"/>
        </w:rPr>
      </w:r>
    </w:p>
    <w:p>
      <w:pPr>
        <w:rPr>
          <w:color w:val="000000"/>
        </w:rPr>
      </w:pPr>
      <w:r>
        <w:rPr>
          <w:color w:val="000000"/>
        </w:rPr>
        <w:t>Наниматель:_____________________</w:t>
        <w:tab/>
        <w:t>Проживающий:________________________</w:t>
      </w:r>
    </w:p>
    <w:p>
      <w:pPr>
        <w:rPr>
          <w:color w:val="000000"/>
        </w:rPr>
      </w:pPr>
      <w:r>
        <w:rPr>
          <w:color w:val="000000"/>
        </w:rPr>
        <w:t>___________________ 202____г.</w:t>
        <w:tab/>
        <w:tab/>
        <w:tab/>
        <w:t>___________________________ 202__г.</w:t>
      </w:r>
    </w:p>
    <w:p>
      <w:pPr>
        <w:ind w:firstLine="709"/>
        <w:rPr>
          <w:color w:val="000000"/>
        </w:rPr>
      </w:pPr>
      <w:r>
        <w:rPr>
          <w:color w:val="000000"/>
        </w:rPr>
      </w:r>
    </w:p>
    <w:p>
      <w:pPr>
        <w:ind w:firstLine="709"/>
        <w:spacing/>
        <w:jc w:val="center"/>
        <w:rPr>
          <w:color w:val="000000"/>
        </w:rPr>
      </w:pPr>
      <w:r>
        <w:br w:type="page"/>
      </w:r>
      <w:r>
        <w:rPr>
          <w:color w:val="000000"/>
        </w:rPr>
      </w:r>
    </w:p>
    <w:p>
      <w:pPr>
        <w:ind w:firstLine="709"/>
        <w:spacing/>
        <w:jc w:val="center"/>
        <w:rPr>
          <w:color w:val="000000"/>
        </w:rPr>
      </w:pPr>
      <w:r>
        <w:rPr>
          <w:color w:val="000000"/>
        </w:rPr>
      </w:r>
    </w:p>
    <w:p>
      <w:pPr>
        <w:ind w:firstLine="709"/>
        <w:spacing/>
        <w:jc w:val="center"/>
        <w:rPr>
          <w:color w:val="000000"/>
        </w:rPr>
      </w:pPr>
      <w:r>
        <w:rPr>
          <w:color w:val="000000"/>
        </w:rPr>
        <w:t xml:space="preserve">Договор </w:t>
      </w:r>
    </w:p>
    <w:p>
      <w:pPr>
        <w:ind w:firstLine="709"/>
        <w:spacing/>
        <w:jc w:val="center"/>
        <w:rPr>
          <w:color w:val="000000"/>
        </w:rPr>
      </w:pPr>
      <w:r>
        <w:rPr>
          <w:color w:val="000000"/>
        </w:rPr>
        <w:t>найма жилого помещения в общежитии</w:t>
      </w:r>
    </w:p>
    <w:p>
      <w:pPr>
        <w:ind w:firstLine="709"/>
        <w:rPr>
          <w:color w:val="000000"/>
        </w:rPr>
      </w:pPr>
      <w:r>
        <w:rPr>
          <w:color w:val="000000"/>
        </w:rPr>
      </w:r>
    </w:p>
    <w:p>
      <w:pPr>
        <w:ind w:firstLine="709"/>
        <w:rPr>
          <w:color w:val="000000"/>
        </w:rPr>
      </w:pPr>
      <w:r>
        <w:rPr>
          <w:color w:val="000000"/>
        </w:rPr>
      </w:r>
    </w:p>
    <w:p>
      <w:pPr>
        <w:ind w:firstLine="709"/>
        <w:rPr>
          <w:color w:val="000000"/>
        </w:rPr>
      </w:pPr>
      <w:r>
        <w:rPr>
          <w:color w:val="000000"/>
        </w:rPr>
      </w:r>
    </w:p>
    <w:p>
      <w:pPr>
        <w:ind w:firstLine="709"/>
        <w:rPr>
          <w:color w:val="000000"/>
        </w:rPr>
      </w:pPr>
      <w:r>
        <w:rPr>
          <w:color w:val="000000"/>
        </w:rPr>
        <w:t xml:space="preserve">г. Керчь                 </w:t>
        <w:tab/>
        <w:tab/>
        <w:tab/>
        <w:tab/>
        <w:t xml:space="preserve">«____»________________202__ г.                                                      </w:t>
        <w:tab/>
        <w:t xml:space="preserve">                                                                                                  </w:t>
        <w:tab/>
        <w:tab/>
        <w:tab/>
        <w:tab/>
        <w:tab/>
      </w:r>
    </w:p>
    <w:p>
      <w:pPr>
        <w:ind w:firstLine="709"/>
        <w:rPr>
          <w:color w:val="000000"/>
        </w:rPr>
      </w:pPr>
      <w:r>
        <w:rPr>
          <w:color w:val="000000"/>
        </w:rPr>
      </w:r>
    </w:p>
    <w:p>
      <w:pPr>
        <w:ind w:firstLine="709"/>
        <w:rPr>
          <w:color w:val="000000"/>
        </w:rPr>
      </w:pPr>
      <w:r>
        <w:rPr>
          <w:color w:val="000000"/>
        </w:rPr>
      </w:r>
    </w:p>
    <w:p>
      <w:pPr>
        <w:ind w:firstLine="709"/>
        <w:rPr>
          <w:color w:val="000000"/>
        </w:rPr>
      </w:pPr>
      <w:r>
        <w:rPr>
          <w:color w:val="000000"/>
        </w:rPr>
        <w:tab/>
        <w:tab/>
        <w:t xml:space="preserve">                                                          </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Государственное бюджетное профессиональное образовательно учреждение Республики Крым «Керченский морской технический колледж» (ГБПОУ РК «КМТК»), далее Учреждение, имеющее в оперативном управлении жилое помещение, в лице директора Самойлович Ольги Александровны, действующей на основании Устава, именуемое в дальнейшем «Наймодатель», с одной стороны, и гражданин (ка), именуемое в дальнейшем «Наниматель» _____________________________________________________________________________________</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_______________________________________________________________________________________</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ab/>
        <w:tab/>
        <w:tab/>
        <w:tab/>
        <w:t>(ФИО несовершеннолетнего)</w:t>
      </w:r>
    </w:p>
    <w:p>
      <w:pPr>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xml:space="preserve">и именуемое в дальнейшем «Проживающий» с другой стороны, заключили настоящий Договор о нижеследующем: </w:t>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1. Предмет договора</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1.1. В соответствии с Жилищным кодексом Российской Федерации, приказом директора Государственного бюджетного профессионального образовательного учреждения Республики Крым «Керченский морской технический колледж» о поселении в общежитие, предоставляется одно  койко-место (6м</w:t>
      </w:r>
      <w:r>
        <w:rPr>
          <w:color w:val="000000"/>
          <w:vertAlign w:val="superscript"/>
        </w:rPr>
        <w:t>2</w:t>
      </w:r>
      <w:r>
        <w:rPr>
          <w:color w:val="000000"/>
        </w:rPr>
        <w:t>) на 1 курсе в общежитии Учреждения (далее), расположенного по адресу: Республика Крым, г.о. Керчь. г. Керчь, шоссе Индустриальное, здание 8, корпус 2 для временного проживания в нем, а также находящееся в нем оборудование (мебель, инвентарь и пр.) в соответствии с Актом приема-передачи, который является неотъемлемой частью договора и в котором указывается номер комнаты. Проживающий обязуется соблюдать установленные правила внутреннего распорядка Общежития, а Наниматель оплатить стоимость услуг за проживание в общежитии в соответствии с приказом директора Наймодателя в размере и порядке, установленном настоящим Договором.</w:t>
      </w:r>
    </w:p>
    <w:p>
      <w:pPr>
        <w:ind w:firstLine="680"/>
        <w:spacing/>
        <w:jc w:val="both"/>
        <w:widowControl w:val="0"/>
        <w:rPr>
          <w:color w:val="000000"/>
        </w:rPr>
      </w:pPr>
      <w:r>
        <w:rPr>
          <w:color w:val="000000"/>
        </w:rPr>
        <w:t>1.2. Обучающиеся 2 (вторых) - 4 (четвертых) курсов переселяются в общежитие, расположенное по адресу: Республика Крым, г.о. Керчь, г. Керчь, ул. Свердлова, здание 55, корпус 2, кроме обучающихся по специальности 43.02.17 Технологии индустрии красоты.</w:t>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2. Обязанности сторон по договору</w:t>
      </w:r>
    </w:p>
    <w:p>
      <w:pPr>
        <w:ind w:firstLine="709"/>
        <w:spacing/>
        <w:jc w:val="both"/>
        <w:tabs defTabSz="708">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xml:space="preserve">2.1. </w:t>
      </w:r>
      <w:r>
        <w:rPr>
          <w:color w:val="000000"/>
          <w:u w:color="auto" w:val="single"/>
        </w:rPr>
        <w:t>Наймодатель обязуется:</w:t>
      </w:r>
      <w:r>
        <w:rPr>
          <w:color w:val="000000"/>
        </w:rPr>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передать Нанимателю часть жилого помещения свободное от прав иных лиц и пригодное для проживания в состоянии, отвечающем требованиям пожарной безопасности, санитарно-гигиеническим и иным требованиям студенческих общежитий;</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xml:space="preserve">осуществлять надлежащую эксплуатацию общежития, в котором находится сданное в наем помещение; </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предоставлять или обеспечивать предоставление Нанимателю за плату необходимых коммунальных услуг. К числу необходимых коммунальных услуг относятся: электроснабжение, холодное водоснабжение, водоотведение, горячее водоснабжение, теплоснабжение;</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в случае необходимости устранения последствий аварии предоставить Нанимателю во временное владение и пользование иное жилое помещение в общежитии;</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производить ремонт помещения;</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производить ремонт и исправлять неисправности в системах канализации, электро-, тепло- и водоснабжения общежития;</w:t>
      </w:r>
    </w:p>
    <w:p>
      <w:pPr>
        <w:numPr>
          <w:ilvl w:val="0"/>
          <w:numId w:val="4"/>
        </w:numPr>
        <w:ind w:left="0"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предоставить в личное пользование нанимателю исправную мебель, инвентарь, оборудование в соответствии с установленными нормами;</w:t>
      </w:r>
    </w:p>
    <w:p>
      <w:pPr>
        <w:ind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при вселении информировать Нанимателя и Проживающего о его правах и обязанностях, а также о нормативных документах и локальных актах ГБПОУ РК «КМТК», связанных с организацией проживания в общежитии вносимых в них изменениях;</w:t>
      </w:r>
    </w:p>
    <w:p>
      <w:pPr>
        <w:ind w:firstLine="709"/>
        <w:spacing/>
        <w:jc w:val="both"/>
        <w:tabs defTabSz="708">
          <w:tab w:val="left" w:pos="360" w:leader="none"/>
          <w:tab w:val="left" w:pos="851"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обеспечивать регистрацию иностранцев и граждан РФ в соответствии с законами Российской Федерации и законами Республики Крым.</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u w:color="auto" w:val="single"/>
        </w:rPr>
      </w:pPr>
      <w:r>
        <w:rPr>
          <w:color w:val="000000"/>
        </w:rPr>
        <w:t xml:space="preserve">2.2. </w:t>
      </w:r>
      <w:r>
        <w:rPr>
          <w:color w:val="000000"/>
          <w:u w:color="auto" w:val="single"/>
        </w:rPr>
        <w:t>Проживающий обязан:</w:t>
      </w:r>
      <w:r>
        <w:rPr>
          <w:color w:val="000000"/>
          <w:u w:color="auto" w:val="single"/>
        </w:rPr>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xml:space="preserve">- использовать помещение по назначению и в пределах, установленных Жилищным </w:t>
      </w:r>
      <w:hyperlink r:id="rId8" w:history="1">
        <w:r>
          <w:rPr>
            <w:rFonts w:ascii="Times New Roman" w:hAnsi="Times New Roman" w:cs="Times New Roman"/>
            <w:color w:val="000000"/>
            <w:sz w:val="24"/>
            <w:szCs w:val="24"/>
          </w:rPr>
          <w:t>кодексом</w:t>
        </w:r>
      </w:hyperlink>
      <w:r>
        <w:rPr>
          <w:rFonts w:ascii="Times New Roman" w:hAnsi="Times New Roman" w:cs="Times New Roman"/>
          <w:color w:val="000000"/>
          <w:sz w:val="24"/>
          <w:szCs w:val="24"/>
        </w:rPr>
        <w:t xml:space="preserve"> Российской Федерации;</w:t>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xml:space="preserve">- соблюдать и выполнять </w:t>
      </w:r>
      <w:hyperlink r:id="rId9" w:history="1">
        <w:r>
          <w:rPr>
            <w:rFonts w:ascii="Times New Roman" w:hAnsi="Times New Roman" w:cs="Times New Roman"/>
            <w:color w:val="000000"/>
            <w:sz w:val="24"/>
            <w:szCs w:val="24"/>
          </w:rPr>
          <w:t>правила</w:t>
        </w:r>
      </w:hyperlink>
      <w:r>
        <w:rPr>
          <w:rFonts w:ascii="Times New Roman" w:hAnsi="Times New Roman" w:cs="Times New Roman"/>
          <w:color w:val="000000"/>
          <w:sz w:val="24"/>
          <w:szCs w:val="24"/>
        </w:rPr>
        <w:t xml:space="preserve"> пользования жилым помещением, локальные нормативные акты, действующие в Государственном бюджетном профессиональном образовательном учреждении Республики Крым «Керченский морской технический колледж» и требования, предъявляемые к проживанию в общежитии, контрольно-пропускному режиму, правила техники безопасности, пожарной и общественной безопасности, инструкцию по алгоритму действий персонала ГБПОУ РК «Керченский морской технический коллед », работников частных охранных организаций и обучающихся при совершении (угрозе совершения) преступления в формах вооруженного нападения, размещения взрывного устройства, при угрозе атаки беспилотного летательного аппарата, захвата заложников, срабатывания на территории колледжа взрывного устройства, в том числе доставленного беспилотным летательным аппаратом, нападения с использованием горючих жидкостей, а также информационного взаимодействия колледжа с территориальными органами МВД России, Росгвардии и ФСБ России;</w:t>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обеспечивать сохранность жилого помещения;</w:t>
      </w:r>
    </w:p>
    <w:p>
      <w:pPr>
        <w:ind w:right="20" w:firstLine="709"/>
        <w:spacing/>
        <w:jc w:val="both"/>
        <w:widowControl w:val="0"/>
        <w:tabs defTabSz="708">
          <w:tab w:val="left" w:pos="884"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eastAsia="Calibri"/>
          <w:color w:val="000000"/>
        </w:rPr>
      </w:pPr>
      <w:r>
        <w:rPr>
          <w:rFonts w:eastAsia="Calibri"/>
          <w:color w:val="000000"/>
        </w:rPr>
        <w:t>- в установленном порядке и сроки предоставлять документы для регистрации по месту пребывания, а также о постановке на воинский учет;</w:t>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не использовать электрооборудование в комнатах (чайник, плиту, холодильник, микроволновку, печь, вафельницу, пароварку, аэрогриль, телевизор и т.п.), допускается по согласованию с комендантом пользование мобильным телефоном, пауэрбанком для мобильного телефона, ноутбуком, персональным компьютером, в данном случае администрация не несет ответственности за вышеперечисленные личные вещи проживающего;</w:t>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поддерживать в надлежащем состоянии жилое помещение, санитарно-техническое и иное оборудование, находящееся в нем, обеспечивать их сохранность, соблюдать чистоту и порядок в жилом помещении;</w:t>
      </w:r>
    </w:p>
    <w:p>
      <w:pPr>
        <w:pStyle w:val="para6"/>
        <w:ind w:firstLine="709"/>
        <w:spacing/>
        <w:jc w:val="both"/>
        <w:tabs defTabSz="708">
          <w:tab w:val="left" w:pos="360"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0"/>
        <w:rPr>
          <w:rFonts w:ascii="Times New Roman" w:hAnsi="Times New Roman" w:cs="Times New Roman"/>
          <w:color w:val="000000"/>
          <w:sz w:val="24"/>
          <w:szCs w:val="24"/>
        </w:rPr>
      </w:pPr>
      <w:r>
        <w:rPr>
          <w:rFonts w:ascii="Times New Roman" w:hAnsi="Times New Roman" w:cs="Times New Roman"/>
          <w:color w:val="000000"/>
          <w:sz w:val="24"/>
          <w:szCs w:val="24"/>
        </w:rPr>
        <w:t xml:space="preserve">- экономно расходовать электроэнергию и воду, </w:t>
      </w:r>
    </w:p>
    <w:p>
      <w:pPr>
        <w:pStyle w:val="para6"/>
        <w:ind w:firstLine="709"/>
        <w:spacing/>
        <w:jc w:val="both"/>
        <w:tabs defTabSz="708">
          <w:tab w:val="left" w:pos="360" w:leader="none"/>
        </w:tabs>
        <w:rPr>
          <w:rFonts w:ascii="Times New Roman" w:hAnsi="Times New Roman" w:cs="Times New Roman"/>
          <w:color w:val="000000"/>
          <w:sz w:val="24"/>
          <w:szCs w:val="24"/>
          <w:lang w:eastAsia="en-us"/>
        </w:rPr>
      </w:pPr>
      <w:r/>
      <w:bookmarkStart w:id="0" w:name="_GoBack"/>
      <w:r/>
      <w:bookmarkEnd w:id="0"/>
      <w:r/>
      <w:r>
        <w:rPr>
          <w:rFonts w:ascii="Times New Roman" w:hAnsi="Times New Roman" w:cs="Times New Roman"/>
          <w:color w:val="000000"/>
          <w:sz w:val="24"/>
          <w:szCs w:val="24"/>
        </w:rPr>
        <w:t>- возмещать</w:t>
      </w:r>
      <w:r>
        <w:rPr>
          <w:rFonts w:ascii="Times New Roman" w:hAnsi="Times New Roman" w:eastAsia="Times New Roman" w:cs="Times New Roman"/>
          <w:color w:val="000000"/>
          <w:spacing w:val="1" w:percent="101"/>
          <w:sz w:val="24"/>
          <w:szCs w:val="24"/>
          <w:lang w:eastAsia="en-us"/>
        </w:rPr>
        <w:t xml:space="preserve"> причиненный материальный ущерб в соответствии с действующим законодательством и договором </w:t>
      </w:r>
      <w:r>
        <w:rPr>
          <w:rFonts w:ascii="Times New Roman" w:hAnsi="Times New Roman" w:cs="Times New Roman"/>
          <w:color w:val="000000"/>
          <w:sz w:val="24"/>
          <w:szCs w:val="24"/>
          <w:lang w:eastAsia="en-us"/>
        </w:rPr>
        <w:t>найма жилого помещения в общежитии</w:t>
      </w:r>
      <w:r>
        <w:rPr>
          <w:rFonts w:ascii="Times New Roman" w:hAnsi="Times New Roman" w:cs="Times New Roman"/>
          <w:color w:val="000000"/>
          <w:sz w:val="24"/>
          <w:szCs w:val="24"/>
          <w:lang w:eastAsia="en-us"/>
        </w:rPr>
        <w:t>;</w:t>
      </w:r>
      <w:r>
        <w:rPr>
          <w:rFonts w:ascii="Times New Roman" w:hAnsi="Times New Roman" w:cs="Times New Roman"/>
          <w:color w:val="000000"/>
          <w:sz w:val="24"/>
          <w:szCs w:val="24"/>
          <w:lang w:eastAsia="en-us"/>
        </w:rPr>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бережно относиться к выданному инвентарю, оборудованию, мебели, нести материальную ответственность за их повреждение или утрату в соответствии с законодательством Российской Федерации и локальными актами Наймодателя;</w:t>
      </w:r>
    </w:p>
    <w:p>
      <w:pPr>
        <w:ind w:firstLine="709"/>
        <w:spacing/>
        <w:jc w:val="both"/>
        <w:tabs defTabSz="708">
          <w:tab w:val="left" w:pos="36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не сдавать его в поднаем, не обменивать его на другое жилое помещение. Переселение в другое помещение возможно только в случае чрезвычайного происшествия в жилом помещении, делающей невозможным проживание в указанном помещении, по решению комиссии, создаваемой администрацией Наймодателя;</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уходя из комнаты, отключать электроприборы, закрывать форточки, окна и двери, ключи сдавать на вахту;</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производить регулярные и генеральные уборки жилого помещения, а также участвовать в работах по самообслуживанию в общежитии и прилегающей территории; </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своевременно вносить плату за жилое помещение и коммунальные услуги, в том числе за период временного отсутствия (болезнь, выходные и праздничные дни и т.д.). В случае получения по желанию Нанимателя дополнительных услуг производить их оплату, определенную в отдельном договоре на оказание дополнительных услуг проживающим в общежитии. Обязанность вносить плату за жилое помещение и коммунальные услуги возникает с момента заключения настоящего Договора.</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переселяться на время текущего и капитального ремонта общежития в другое помещение, предоставленное Наймодателем (когда ремонт не может быть произведен без выселения). В случае отказа Наниматель от переселения в это помещение Наймодатель может потребовать переселения в судебном порядке;</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допускать в помещение в любое время представителя Наймодателя для осмотра технического состояния помещения, санитарно-технического и иного оборудования, находящегося в нем, а также для выполнения необходимых работ;</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при обнаружении неисправностей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осуществлять пользование помещением с учетом соблюдения прав и законных интересов соседей, требований пожарной безопасности, санитарно-гигиенических, экологических и иных требований законодательства, соблюдать «режим тишины» с 22-00 до 07-00;</w:t>
      </w:r>
    </w:p>
    <w:p>
      <w:pPr>
        <w:pStyle w:val="para7"/>
        <w:ind w:firstLine="709"/>
        <w:spacing/>
        <w:jc w:val="both"/>
        <w:rPr>
          <w:rFonts w:ascii="Times New Roman" w:hAnsi="Times New Roman"/>
          <w:color w:val="000000"/>
        </w:rPr>
      </w:pPr>
      <w:r>
        <w:rPr>
          <w:color w:val="000000"/>
        </w:rPr>
        <w:t xml:space="preserve">- </w:t>
      </w:r>
      <w:r>
        <w:rPr>
          <w:rFonts w:ascii="Times New Roman" w:hAnsi="Times New Roman"/>
          <w:color w:val="000000"/>
        </w:rPr>
        <w:t xml:space="preserve">при </w:t>
      </w:r>
      <w:r>
        <w:rPr>
          <w:rFonts w:ascii="Times New Roman" w:hAnsi="Times New Roman"/>
          <w:color w:val="000000"/>
        </w:rPr>
        <w:t>уходе</w:t>
      </w:r>
      <w:r>
        <w:rPr>
          <w:rFonts w:ascii="Times New Roman" w:hAnsi="Times New Roman"/>
          <w:color w:val="000000"/>
        </w:rPr>
        <w:t xml:space="preserve"> на</w:t>
      </w:r>
      <w:r>
        <w:rPr>
          <w:rFonts w:ascii="Times New Roman" w:hAnsi="Times New Roman"/>
          <w:color w:val="000000"/>
        </w:rPr>
        <w:t xml:space="preserve"> зимние</w:t>
      </w:r>
      <w:r>
        <w:rPr>
          <w:rFonts w:ascii="Times New Roman" w:hAnsi="Times New Roman"/>
          <w:color w:val="000000"/>
        </w:rPr>
        <w:t xml:space="preserve"> каникулы, на практику или</w:t>
      </w:r>
      <w:r>
        <w:rPr>
          <w:rFonts w:ascii="Times New Roman" w:hAnsi="Times New Roman"/>
          <w:color w:val="000000"/>
        </w:rPr>
        <w:t xml:space="preserve"> отъезде</w:t>
      </w:r>
      <w:r>
        <w:rPr>
          <w:rFonts w:ascii="Times New Roman" w:hAnsi="Times New Roman"/>
          <w:color w:val="000000"/>
        </w:rPr>
        <w:t xml:space="preserve"> на длительное время </w:t>
      </w:r>
      <w:r>
        <w:rPr>
          <w:rFonts w:ascii="Times New Roman" w:hAnsi="Times New Roman"/>
          <w:color w:val="000000"/>
        </w:rPr>
        <w:t>проживающий</w:t>
      </w:r>
      <w:r>
        <w:rPr>
          <w:rFonts w:ascii="Times New Roman" w:hAnsi="Times New Roman"/>
          <w:color w:val="000000"/>
        </w:rPr>
        <w:t xml:space="preserve"> </w:t>
      </w:r>
      <w:r>
        <w:rPr>
          <w:rFonts w:ascii="Times New Roman" w:hAnsi="Times New Roman"/>
          <w:color w:val="000000"/>
        </w:rPr>
        <w:t xml:space="preserve">должен проинформировать коменданта общежития путем подачи письменного заявления, привести комнату в надлежащее санитарное состояние, сдать весь инвентарь, мебель и оборудование по обходному листу, личные вещи сдать в камеру хранения (в данном случае оплата по договору продолжается, место за проживающим сохраняется), сдать </w:t>
      </w:r>
      <w:r>
        <w:rPr>
          <w:rFonts w:ascii="Times New Roman" w:hAnsi="Times New Roman"/>
          <w:color w:val="000000"/>
        </w:rPr>
        <w:t>воспитателю</w:t>
      </w:r>
      <w:r>
        <w:rPr>
          <w:rFonts w:ascii="Times New Roman" w:hAnsi="Times New Roman"/>
          <w:color w:val="000000"/>
        </w:rPr>
        <w:t xml:space="preserve"> ключи от комнаты</w:t>
      </w:r>
      <w:r>
        <w:rPr>
          <w:rFonts w:ascii="Times New Roman" w:hAnsi="Times New Roman"/>
          <w:color w:val="000000"/>
        </w:rPr>
        <w:t xml:space="preserve">, </w:t>
      </w:r>
      <w:r>
        <w:rPr>
          <w:rFonts w:ascii="Times New Roman" w:hAnsi="Times New Roman"/>
          <w:color w:val="000000"/>
        </w:rPr>
        <w:t>за несданные на хранение вещи админист</w:t>
      </w:r>
      <w:r>
        <w:rPr>
          <w:rFonts w:ascii="Times New Roman" w:hAnsi="Times New Roman"/>
          <w:color w:val="000000"/>
        </w:rPr>
        <w:t>рация ответственности не несёт;</w:t>
      </w:r>
      <w:r>
        <w:rPr>
          <w:rFonts w:ascii="Times New Roman" w:hAnsi="Times New Roman"/>
          <w:color w:val="000000"/>
        </w:rPr>
      </w:r>
    </w:p>
    <w:p>
      <w:pPr>
        <w:pStyle w:val="para7"/>
        <w:ind w:firstLine="709"/>
        <w:spacing/>
        <w:jc w:val="both"/>
        <w:rPr>
          <w:rFonts w:ascii="Times New Roman" w:hAnsi="Times New Roman"/>
          <w:color w:val="000000"/>
        </w:rPr>
      </w:pPr>
      <w:r>
        <w:rPr>
          <w:rFonts w:ascii="Times New Roman" w:hAnsi="Times New Roman"/>
          <w:color w:val="000000"/>
        </w:rPr>
        <w:t>- в случае ухода в академический отпуск, перехода на индивидуальный график обучения, прекращения проживания в общежитии обучающийся должен проинформировать коменданта общежития путем подачи письменного заявления, привести комнату в надлежащее санитарное состояние, личные вещи вывести с общежития, сдать воспитателю ключи от комнаты, сдать весь инвентарь, мебель и оборудование по обходному листу, а также погасить задолженность по оплате жилого помещения и коммунальных услуг (в данном случае оплата по договору прекращается, место за проживающим не сохраняется);</w:t>
      </w:r>
    </w:p>
    <w:p>
      <w:pPr>
        <w:pStyle w:val="para7"/>
        <w:ind w:firstLine="709"/>
        <w:spacing/>
        <w:jc w:val="both"/>
        <w:rPr>
          <w:rFonts w:ascii="Times New Roman" w:hAnsi="Times New Roman"/>
          <w:color w:val="000000"/>
        </w:rPr>
      </w:pPr>
      <w:r>
        <w:rPr>
          <w:rFonts w:ascii="Times New Roman" w:hAnsi="Times New Roman"/>
          <w:color w:val="000000"/>
        </w:rPr>
        <w:t>- при отчислении из ГБПОУ РК «КМТК» (в том числе по его окончанию) сдать помещение в течение трех рабочих дней Наймодателю в надлежащем состоянии, сдать весь инвентарь, мебель и оборудование по обходному листу, а также погасить задолженность по оплате жилого помещения и коммунальных услуг;</w:t>
      </w:r>
    </w:p>
    <w:p>
      <w:pPr>
        <w:pStyle w:val="para7"/>
        <w:ind w:firstLine="709"/>
        <w:spacing/>
        <w:jc w:val="both"/>
        <w:rPr>
          <w:rFonts w:ascii="Times New Roman" w:hAnsi="Times New Roman"/>
          <w:color w:val="000000"/>
        </w:rPr>
      </w:pPr>
      <w:r>
        <w:rPr>
          <w:rFonts w:ascii="Times New Roman" w:hAnsi="Times New Roman"/>
          <w:color w:val="000000"/>
        </w:rPr>
        <w:t>- при расторжении или прекращении настоящего Договора освободить жилое помещение в трехдневный срок. В случае отказа освободить жилое помещение Проживающий подлежит выселению в судебном порядке.</w:t>
      </w:r>
    </w:p>
    <w:p>
      <w:pPr>
        <w:pStyle w:val="para7"/>
        <w:ind w:firstLine="709"/>
        <w:spacing/>
        <w:jc w:val="both"/>
        <w:rPr>
          <w:rFonts w:ascii="Times New Roman" w:hAnsi="Times New Roman"/>
          <w:color w:val="000000"/>
        </w:rPr>
      </w:pPr>
      <w:r>
        <w:rPr>
          <w:rFonts w:ascii="Times New Roman" w:hAnsi="Times New Roman"/>
          <w:color w:val="000000"/>
        </w:rPr>
        <w:t xml:space="preserve">Проживающий несет иные обязанности, предусмотренные законодательством, </w:t>
      </w:r>
      <w:r>
        <w:rPr>
          <w:rFonts w:ascii="Times New Roman" w:hAnsi="Times New Roman" w:eastAsia="Times New Roman"/>
          <w:color w:val="000000"/>
          <w:lang w:eastAsia="ru-ru"/>
        </w:rPr>
        <w:t>Правилами внутреннего распорядка обучающихся ГБПОУ РК «Керченский морской технический колледж», Правилами внутреннего распорядка общежития ГБПОУ РК «Керченский морской технический колледж»</w:t>
      </w:r>
      <w:r>
        <w:rPr>
          <w:rFonts w:ascii="Times New Roman" w:hAnsi="Times New Roman"/>
          <w:color w:val="000000"/>
        </w:rPr>
        <w:t xml:space="preserve">, </w:t>
      </w:r>
      <w:r>
        <w:rPr>
          <w:rFonts w:ascii="Times New Roman" w:hAnsi="Times New Roman" w:eastAsia="Times New Roman"/>
          <w:color w:val="000000"/>
          <w:lang w:eastAsia="ru-ru"/>
        </w:rPr>
        <w:t>Положением о порядке предоставления обучающимся жилых помещений в общежитии Государственного бюджетного профессионального образовательного учреждения Республики Крым «Керченский морской технический колледж»</w:t>
      </w:r>
      <w:r>
        <w:rPr>
          <w:rFonts w:ascii="Times New Roman" w:hAnsi="Times New Roman"/>
          <w:color w:val="000000"/>
        </w:rPr>
        <w:t>.</w:t>
      </w:r>
    </w:p>
    <w:p>
      <w:pPr>
        <w:pStyle w:val="para7"/>
        <w:ind w:firstLine="709"/>
        <w:spacing/>
        <w:jc w:val="both"/>
        <w:rPr>
          <w:rFonts w:ascii="Times New Roman" w:hAnsi="Times New Roman"/>
          <w:color w:val="000000"/>
        </w:rPr>
      </w:pPr>
      <w:r>
        <w:rPr>
          <w:rFonts w:ascii="Times New Roman" w:hAnsi="Times New Roman"/>
          <w:color w:val="000000"/>
        </w:rPr>
        <w:t>2.3. Проживающему запрещается:</w:t>
      </w:r>
    </w:p>
    <w:p>
      <w:pPr>
        <w:pStyle w:val="para7"/>
        <w:ind w:firstLine="709"/>
        <w:spacing/>
        <w:jc w:val="both"/>
        <w:rPr>
          <w:rFonts w:ascii="Times New Roman" w:hAnsi="Times New Roman"/>
          <w:color w:val="000000"/>
        </w:rPr>
      </w:pPr>
      <w:r>
        <w:rPr>
          <w:rFonts w:ascii="Times New Roman" w:hAnsi="Times New Roman"/>
          <w:color w:val="000000"/>
        </w:rPr>
        <w:t>- пользоваться в комнатах личными энергоемкими электроприборами без письменного разрешения администрации ГБПОУ РК «КМТК»;</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хранить и распространять легковоспламеняющиеся жидкости и взрывчатые вещества (в т.ч. фейерверки);</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участвовать в противоправных действиях (потасовках, драках и т.п.);</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курить табак, электронный сигареты, кальяны, вейпы и иные курительные изделия во всех без исключения помещениях общежития;</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распивать алкогольные напитки, энергетики; </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xml:space="preserve">- распространять наркотические, медицинские, синтетические и психотропные вещества, аналоги и прекурсоры, хранить и употреблять наркотические, синтетические и психотропные вещества, их аналоги и прекурсоры в здании общежития и на прилегающей территории, не находиться в здании общежития и на прилегающей территории в состоянии алкогольного, наркотического, токсического, лекарственного опьянения; </w:t>
      </w:r>
    </w:p>
    <w:p>
      <w:pPr>
        <w:pStyle w:val="para6"/>
        <w:ind w:firstLine="709"/>
        <w:spacing/>
        <w:jc w:val="both"/>
        <w:tabs defTabSz="708">
          <w:tab w:val="left" w:pos="360" w:leader="none"/>
        </w:tabs>
        <w:rPr>
          <w:rFonts w:ascii="Times New Roman" w:hAnsi="Times New Roman" w:cs="Times New Roman"/>
          <w:color w:val="000000"/>
          <w:sz w:val="24"/>
          <w:szCs w:val="24"/>
          <w:lang w:eastAsia="en-us"/>
        </w:rPr>
      </w:pPr>
      <w:r>
        <w:rPr>
          <w:rFonts w:ascii="Times New Roman" w:hAnsi="Times New Roman" w:eastAsia="Times New Roman" w:cs="Times New Roman"/>
          <w:color w:val="000000"/>
          <w:spacing w:val="1" w:percent="101"/>
          <w:sz w:val="24"/>
          <w:szCs w:val="24"/>
          <w:lang w:eastAsia="en-us"/>
        </w:rPr>
        <w:t>- наклеивать объявления, расписания, плакаты</w:t>
      </w:r>
      <w:r>
        <w:rPr>
          <w:rFonts w:ascii="Times New Roman" w:hAnsi="Times New Roman" w:cs="Times New Roman"/>
          <w:color w:val="000000"/>
          <w:sz w:val="24"/>
          <w:szCs w:val="24"/>
          <w:lang w:eastAsia="en-us"/>
        </w:rPr>
        <w:t>, флаги, гирлянды и т.д.</w:t>
      </w:r>
      <w:r>
        <w:rPr>
          <w:rFonts w:ascii="Times New Roman" w:hAnsi="Times New Roman" w:eastAsia="Times New Roman" w:cs="Times New Roman"/>
          <w:color w:val="000000"/>
          <w:spacing w:val="1" w:percent="101"/>
          <w:sz w:val="24"/>
          <w:szCs w:val="24"/>
          <w:lang w:eastAsia="en-us"/>
        </w:rPr>
        <w:t xml:space="preserve"> на стены комнаты и в местах общего пользования, кроме специально отведенных для этой цели мест</w:t>
      </w:r>
      <w:r>
        <w:rPr>
          <w:rFonts w:ascii="Times New Roman" w:hAnsi="Times New Roman" w:cs="Times New Roman"/>
          <w:color w:val="000000"/>
          <w:sz w:val="24"/>
          <w:szCs w:val="24"/>
          <w:lang w:eastAsia="en-us"/>
        </w:rPr>
        <w:t xml:space="preserve"> по согласованию с комендантом;</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проводить посторонних лиц и оставлять их на ночлег;</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проносить и хранить все виды оружия, орудий, боеприпасов, в т.ч. их копии, подделки, образы;</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совершать действия, нарушающие тишину и покой иных проживающих и работников Учреждения (в т. ч. громко слушать музыку);</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самовольно обмениваться и переселяться в жилые помещения Учреждения;</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передавать ключи от жилого помещения имущество общежития третьим лицам;</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 производить переустройство, реконструкцию и перепланировку помещения без согласия Наймодателя, устанавливать дополнительные замки в дверях   жилого помещения;</w:t>
      </w:r>
    </w:p>
    <w:p>
      <w:pPr>
        <w:pStyle w:val="para6"/>
        <w:ind w:firstLine="709"/>
        <w:spacing/>
        <w:jc w:val="both"/>
        <w:tabs defTabSz="708">
          <w:tab w:val="left" w:pos="360" w:leader="none"/>
        </w:tabs>
        <w:rPr>
          <w:rFonts w:ascii="Times New Roman" w:hAnsi="Times New Roman" w:cs="Times New Roman"/>
          <w:color w:val="000000"/>
          <w:sz w:val="24"/>
          <w:szCs w:val="24"/>
        </w:rPr>
      </w:pPr>
      <w:r>
        <w:rPr>
          <w:rFonts w:ascii="Times New Roman" w:hAnsi="Times New Roman" w:cs="Times New Roman"/>
          <w:color w:val="000000"/>
          <w:sz w:val="24"/>
          <w:szCs w:val="24"/>
        </w:rPr>
        <w:t>-содержать в жилом помещении и других помещениях общежития животных.</w:t>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3. Права сторон по договору</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3.1. Наймодатель вправе:</w:t>
      </w:r>
    </w:p>
    <w:p>
      <w:pPr>
        <w:numPr>
          <w:ilvl w:val="0"/>
          <w:numId w:val="5"/>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требовать своевременного внесения платы за жилое помещение и коммунальные услуги (раздел 4 настоящего Договора);</w:t>
      </w:r>
    </w:p>
    <w:p>
      <w:pPr>
        <w:numPr>
          <w:ilvl w:val="0"/>
          <w:numId w:val="5"/>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требовать допуска в жилое помещение работников Наймодателя для осмотра технического и санитарного состояния жилого помещения, санитарно-технического и иного оборудования, находящегося в нем;</w:t>
      </w:r>
    </w:p>
    <w:p>
      <w:pPr>
        <w:numPr>
          <w:ilvl w:val="0"/>
          <w:numId w:val="5"/>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требовать расторжения настоящего договора в случаях, предусмотренных законодательством;</w:t>
      </w:r>
    </w:p>
    <w:p>
      <w:pPr>
        <w:numPr>
          <w:ilvl w:val="0"/>
          <w:numId w:val="5"/>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осуществлять иные права, предусмотренные жилищным законодательством Российской Федерации.</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3.2. Проживающий вправе:</w:t>
      </w:r>
    </w:p>
    <w:p>
      <w:pPr>
        <w:numPr>
          <w:ilvl w:val="0"/>
          <w:numId w:val="1"/>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пользоваться жилым помещением в порядке и на условиях, предусмотренным настоящим договором, Положением об общежитии ГБПОУ РК «КМТК», иными жилищным законодательством Российской Федерации</w:t>
      </w:r>
    </w:p>
    <w:p>
      <w:pPr>
        <w:numPr>
          <w:ilvl w:val="0"/>
          <w:numId w:val="1"/>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расторгнуть настоящий договор в любое время;</w:t>
      </w:r>
    </w:p>
    <w:p>
      <w:pPr>
        <w:numPr>
          <w:ilvl w:val="0"/>
          <w:numId w:val="1"/>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осуществлять иные права, предусмотренные жилищным законодательством Российской Федерации.</w:t>
      </w:r>
    </w:p>
    <w:p>
      <w:pPr>
        <w:numPr>
          <w:ilvl w:val="0"/>
          <w:numId w:val="1"/>
        </w:numPr>
        <w:ind w:left="0"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4. Оплата за проживание в общежитии</w:t>
      </w:r>
    </w:p>
    <w:p>
      <w:pPr>
        <w:pStyle w:val="para12"/>
        <w:ind w:firstLine="709"/>
        <w:spacing w:line="240" w:lineRule="auto"/>
        <w:tabs defTabSz="708">
          <w:tab w:val="left" w:pos="987" w:leader="none"/>
        </w:tabs>
        <w:rPr>
          <w:color w:val="000000"/>
          <w:spacing w:val="0" w:percent="100"/>
          <w:sz w:val="24"/>
          <w:szCs w:val="24"/>
        </w:rPr>
      </w:pPr>
      <w:r>
        <w:rPr>
          <w:color w:val="000000"/>
          <w:spacing w:val="0" w:percent="100"/>
          <w:sz w:val="24"/>
          <w:szCs w:val="24"/>
        </w:rPr>
        <w:t xml:space="preserve">4.1. Наниматель вносит плату за пользование жилым помещением (плата за наем) и платы за коммунальные услуги в размере, утвержденном Постановлением Совета Министров Республики Крым от 05.03.2019г. No126 «Об утверждении единого размера платы за пользование жилым помещением (платы за наем) и платы за коммунальные услуги для обучающихся образовательных организаций среднего профессионального образования Республики Крым», Положением о размере платы за проживание в общежитии ГБПОУ РК «КМТК», Приказа директора ГБПОУ РК «КМТК» №72 от 13.03.2019г. «Об оплате студентами за пользование жилым помещением и коммунальными услугами в студенческих общежитиях с 01 января 2019г.». В плату обучающихся за проживание включаются непосредственно плата за наем помещения и коммунальные услуги: отопление, освещение, водоснабжение, водоотведение, вывоз мусора. </w:t>
      </w:r>
    </w:p>
    <w:p>
      <w:pPr>
        <w:pStyle w:val="para12"/>
        <w:ind w:firstLine="709"/>
        <w:spacing w:line="240" w:lineRule="auto"/>
        <w:tabs defTabSz="708">
          <w:tab w:val="left" w:pos="987" w:leader="none"/>
        </w:tabs>
        <w:rPr>
          <w:color w:val="000000"/>
          <w:spacing w:val="0" w:percent="100"/>
          <w:sz w:val="24"/>
          <w:szCs w:val="24"/>
        </w:rPr>
      </w:pPr>
      <w:r>
        <w:rPr>
          <w:color w:val="000000"/>
          <w:spacing w:val="0" w:percent="100"/>
          <w:sz w:val="24"/>
          <w:szCs w:val="24"/>
        </w:rPr>
        <w:t>4.2. Устанавливается единый размер платы за пользование жилым помещением (платы за наем) и платы за коммунальные услуги в студенческом общежитии в размере 240 (Двести сорок) руб. 00 коп., (без НДС) в месяц из расчета за 1 койко-место. Общая стоимость договора в год (за 10 месяцев проживания) составляет 2400,00 (две тысячи четыреста) руб. 00 коп., без НДС. Общая стоимость договора в год (за 11 месяцев проживания) составляет 2640,00 (две тысячи шестьсот сорок) руб. 00 коп., без НДС.</w:t>
      </w:r>
    </w:p>
    <w:p>
      <w:pPr>
        <w:pStyle w:val="para12"/>
        <w:ind w:firstLine="709"/>
        <w:spacing w:line="240" w:lineRule="auto"/>
        <w:tabs defTabSz="708">
          <w:tab w:val="left" w:pos="987" w:leader="none"/>
        </w:tabs>
        <w:rPr>
          <w:color w:val="000000"/>
          <w:spacing w:val="0" w:percent="100"/>
          <w:sz w:val="24"/>
          <w:szCs w:val="24"/>
        </w:rPr>
      </w:pPr>
      <w:r>
        <w:rPr>
          <w:color w:val="000000"/>
          <w:spacing w:val="0" w:percent="100"/>
          <w:sz w:val="24"/>
          <w:szCs w:val="24"/>
        </w:rPr>
        <w:t xml:space="preserve">4.3. Внесение платы за проживание в общежитии производится на расчетный счет ГБПОУ РК «КМТК», указанный в разделе 7 настоящего Договора, и осуществляется за 5 (пять) календарных месяцев проживания двумя равными платежами (в случае проживания сроком на 10 месяцев) в размере 1200,00 (одна тысяча двести) руб. 00 коп., без НДС. при заселении в общежитие Учреждения до 01 сентября учебного года и до 01 февраля учебного года соответственно, за 5 (пять) календарных месяцев проживания  платежом (в случае проживания сроком на 10 месяцев) в размере 1200,00 (одна тысяча двести) руб. 00 коп., без НДС и за 6 (шесть) календарных месяцев (в случае проживания сроком на 11 месяцев) в размере 1440,00 (одна тысяча четыреста сорок) руб. 00 коп., без НДС при заселении в общежитие Учреждения до 01 сентября учебного года и до 01 февраля учебного года соответственно. </w:t>
      </w:r>
    </w:p>
    <w:p>
      <w:pPr>
        <w:pStyle w:val="para12"/>
        <w:ind w:firstLine="709"/>
        <w:spacing w:line="240" w:lineRule="auto"/>
        <w:tabs defTabSz="708">
          <w:tab w:val="left" w:pos="987" w:leader="none"/>
        </w:tabs>
        <w:rPr>
          <w:color w:val="000000"/>
          <w:spacing w:val="0" w:percent="100"/>
          <w:sz w:val="24"/>
          <w:szCs w:val="24"/>
        </w:rPr>
      </w:pPr>
      <w:r>
        <w:rPr>
          <w:color w:val="000000"/>
          <w:spacing w:val="0" w:percent="100"/>
          <w:sz w:val="24"/>
          <w:szCs w:val="24"/>
        </w:rPr>
        <w:t xml:space="preserve">4.4. В случае наличия переплаты за пользование жилым помещением: Наниматель вправе обратиться с заявлением о возврате излишне оплаченных денежных средств, предоставив следующие документы: 1. Заявление с подписью Коменданта общежития. 2. Оригинал квитанции об оплате с печатью банка. 3. Ксерокопию карты банка. 4. Заверенную секретарем Учреждения копию договора жилого найма жилого помещения в общежитии.4. Реквизиты банка, где открыта карточка. </w:t>
      </w:r>
    </w:p>
    <w:p>
      <w:pPr>
        <w:pStyle w:val="para12"/>
        <w:ind w:firstLine="709"/>
        <w:spacing w:line="240" w:lineRule="auto"/>
        <w:tabs defTabSz="708">
          <w:tab w:val="left" w:pos="987" w:leader="none"/>
        </w:tabs>
        <w:rPr>
          <w:color w:val="000000"/>
          <w:spacing w:val="0" w:percent="100"/>
          <w:sz w:val="24"/>
          <w:szCs w:val="24"/>
        </w:rPr>
      </w:pPr>
      <w:r>
        <w:rPr>
          <w:color w:val="000000"/>
          <w:spacing w:val="0" w:percent="100"/>
          <w:sz w:val="24"/>
          <w:szCs w:val="24"/>
        </w:rPr>
        <w:t>4.5. Наниматель вправе обратиться с заявлением о зачислении излишне оплаченных денежных средств в счет будущих платежей за пользование жилым помещением (платы за наем) и платы за коммунальные услуги в общежитии непосредственно к Коменданту Общежития.</w:t>
      </w:r>
    </w:p>
    <w:p>
      <w:pPr>
        <w:pStyle w:val="para12"/>
        <w:ind w:firstLine="709"/>
        <w:spacing w:line="240" w:lineRule="auto"/>
        <w:tabs defTabSz="708">
          <w:tab w:val="left" w:pos="98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spacing w:val="0" w:percent="100"/>
          <w:sz w:val="24"/>
          <w:szCs w:val="24"/>
        </w:rPr>
      </w:pPr>
      <w:r>
        <w:rPr>
          <w:color w:val="000000"/>
          <w:spacing w:val="0" w:percent="100"/>
          <w:sz w:val="24"/>
          <w:szCs w:val="24"/>
        </w:rPr>
        <w:t>4.6. От оплаты за проживание (плата за наем) в общежитии освобождаются обучающиеся по очной форме обучения за счет бюджетных ассигнований федерального бюджета являющиеся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pPr>
        <w:pStyle w:val="para12"/>
        <w:ind w:firstLine="709"/>
        <w:spacing w:line="240" w:lineRule="auto"/>
        <w:tabs defTabSz="708">
          <w:tab w:val="left" w:pos="98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spacing w:val="0" w:percent="100"/>
          <w:sz w:val="24"/>
          <w:szCs w:val="24"/>
        </w:rPr>
      </w:pPr>
      <w:r>
        <w:rPr>
          <w:color w:val="000000"/>
          <w:spacing w:val="0" w:percent="100"/>
          <w:sz w:val="24"/>
          <w:szCs w:val="24"/>
        </w:rPr>
      </w:r>
    </w:p>
    <w:p>
      <w:pPr>
        <w:spacing/>
        <w:jc w:val="center"/>
        <w:rPr>
          <w:rFonts w:eastAsia="Calibri"/>
          <w:color w:val="000000"/>
        </w:rPr>
      </w:pPr>
      <w:r>
        <w:rPr>
          <w:color w:val="000000"/>
        </w:rPr>
        <w:tab/>
        <w:t>5.</w:t>
      </w:r>
      <w:r>
        <w:rPr>
          <w:rFonts w:eastAsia="Calibri"/>
          <w:color w:val="000000"/>
        </w:rPr>
        <w:t xml:space="preserve"> Обстоятельства непреодолимой силы</w:t>
      </w:r>
      <w:r>
        <w:rPr>
          <w:rFonts w:eastAsia="Calibri"/>
          <w:color w:val="000000"/>
        </w:rPr>
      </w:r>
    </w:p>
    <w:p>
      <w:pPr>
        <w:ind w:firstLine="708"/>
        <w:spacing/>
        <w:jc w:val="both"/>
        <w:rPr>
          <w:color w:val="000000"/>
        </w:rPr>
      </w:pPr>
      <w:r>
        <w:rPr>
          <w:color w:val="000000"/>
        </w:rPr>
        <w:t>5.1. Стороны освобождаются от ответственности за полными или частичными неисполнениями своих обязательств по Договору, если их неисполнение явилось следствием обстоятельств непреодолимой силы (далее также «форс-мажорные обстоятельства»).</w:t>
      </w:r>
    </w:p>
    <w:p>
      <w:pPr>
        <w:ind w:firstLine="708"/>
        <w:spacing/>
        <w:jc w:val="both"/>
        <w:rPr>
          <w:color w:val="000000"/>
        </w:rPr>
      </w:pPr>
      <w:r>
        <w:rPr>
          <w:color w:val="000000"/>
        </w:rPr>
        <w:t>5.2. Под обстоятельствами непреодолимой силы понимаются такие обстоятельства, которые возникли после заключения Договора в результате непредвиденных и непредотвратимых событий чрезвычайного характера, не поддающихся разумному контролю Сторон, в частности: стихийные бедствия, запретительные меры государства, чрезвычайная ситуация, война объявленная и не объявленная, военные действия, террористический акт и другие, при условии, что эти обстоятельства или их последствия  оказывают непосредственное воздействие на одну из Сторон и препятствуют возможности выполнения обязательств по Договору.</w:t>
      </w:r>
    </w:p>
    <w:p>
      <w:pPr>
        <w:ind w:firstLine="708"/>
        <w:spacing/>
        <w:jc w:val="both"/>
        <w:rPr>
          <w:color w:val="000000"/>
        </w:rPr>
      </w:pPr>
      <w:r>
        <w:rPr>
          <w:color w:val="000000"/>
        </w:rPr>
        <w:t>5.3. Воздействие факторов внешней силы, связанных с применением беспилотных аппаратов, ракетно-артиллерийского вооружения или средств огневого поражения квалифицируется как обстоятельства непреодолимой силы(форс-мажор).</w:t>
      </w:r>
    </w:p>
    <w:p>
      <w:pPr>
        <w:ind w:firstLine="708"/>
        <w:spacing/>
        <w:jc w:val="both"/>
        <w:rPr>
          <w:color w:val="000000"/>
        </w:rPr>
      </w:pPr>
      <w:r>
        <w:rPr>
          <w:color w:val="000000"/>
        </w:rPr>
        <w:t>5.4. Если какое-либо из форс-мажорных обстоятельств непосредственно повлияет на возможность выполнения каких-либо обязательств по Договору, период выполнения таких обязательств будет продлен на срок действия форс-мажорных обстоятельств.</w:t>
      </w:r>
    </w:p>
    <w:p>
      <w:pPr>
        <w:ind w:firstLine="708"/>
        <w:spacing/>
        <w:jc w:val="both"/>
        <w:rPr>
          <w:color w:val="000000"/>
        </w:rPr>
      </w:pPr>
      <w:r>
        <w:rPr>
          <w:color w:val="000000"/>
        </w:rPr>
        <w:t>5.5. Сторона, у которой возникли форс-мажорные обстоятельства, обязана незамедлительно (но не позднее чем в трехдневный срок) информировать другую Сторону о начале и характере, а также окончании обстоятельств непреодолимой силы, которые препятствует выполнению Договора.</w:t>
      </w:r>
    </w:p>
    <w:p>
      <w:pPr>
        <w:ind w:firstLine="708"/>
        <w:spacing/>
        <w:jc w:val="both"/>
        <w:rPr>
          <w:color w:val="000000"/>
        </w:rPr>
      </w:pPr>
      <w:r>
        <w:rPr>
          <w:color w:val="000000"/>
        </w:rPr>
        <w:t xml:space="preserve">5.6. Надлежащим доказательством наличия выше обязательств и их продолжительности будут служить акты, справки (сертификаты), выдаваемые уполномоченным компетентным государственным органом (организацией). соответствующей Стороны, которая ссылается на такие обстоятельства. </w:t>
      </w:r>
    </w:p>
    <w:p>
      <w:pPr>
        <w:ind w:firstLine="680"/>
        <w:spacing/>
        <w:jc w:val="both"/>
        <w:rPr>
          <w:color w:val="000000"/>
        </w:rPr>
      </w:pPr>
      <w:r>
        <w:rPr>
          <w:color w:val="000000"/>
        </w:rPr>
        <w:t>5.7.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Стороной обязательств по Договору, кроме случаев, когда обстоятельства непреодолимой силы (или их последствия) препятствовали такому уведомлению.</w:t>
      </w:r>
    </w:p>
    <w:p>
      <w:pPr>
        <w:ind w:firstLine="680"/>
        <w:spacing/>
        <w:jc w:val="both"/>
        <w:rPr>
          <w:color w:val="000000"/>
        </w:rPr>
      </w:pPr>
      <w:r>
        <w:rPr>
          <w:color w:val="000000"/>
        </w:rPr>
      </w:r>
    </w:p>
    <w:p>
      <w:pPr>
        <w:pStyle w:val="para12"/>
        <w:ind w:firstLine="709"/>
        <w:spacing w:line="240" w:lineRule="auto"/>
        <w:jc w:val="center"/>
        <w:tabs defTabSz="708">
          <w:tab w:val="left" w:pos="987" w:leader="none"/>
        </w:tabs>
        <w:rPr>
          <w:color w:val="000000"/>
          <w:sz w:val="24"/>
          <w:szCs w:val="24"/>
        </w:rPr>
      </w:pPr>
      <w:r>
        <w:rPr>
          <w:color w:val="000000"/>
          <w:sz w:val="24"/>
          <w:szCs w:val="24"/>
        </w:rPr>
        <w:t>6. Ответственность сторон</w:t>
      </w:r>
    </w:p>
    <w:p>
      <w:pPr>
        <w:pStyle w:val="para12"/>
        <w:ind w:firstLine="709"/>
        <w:spacing w:line="240" w:lineRule="auto"/>
        <w:tabs defTabSz="708">
          <w:tab w:val="left" w:pos="987" w:leader="none"/>
        </w:tabs>
        <w:rPr>
          <w:color w:val="000000"/>
          <w:sz w:val="24"/>
          <w:szCs w:val="24"/>
        </w:rPr>
      </w:pPr>
      <w:r>
        <w:rPr>
          <w:color w:val="000000"/>
          <w:sz w:val="24"/>
          <w:szCs w:val="24"/>
        </w:rPr>
        <w:t>6.1 Стороны за нарушение условий настоящего Договора несут ответственность в соответствии с действующим законодательством Российской Федерации.</w:t>
      </w:r>
    </w:p>
    <w:p>
      <w:pPr>
        <w:pStyle w:val="para12"/>
        <w:ind w:firstLine="709"/>
        <w:spacing w:line="240" w:lineRule="auto"/>
        <w:tabs defTabSz="708">
          <w:tab w:val="left" w:pos="987" w:leader="none"/>
        </w:tabs>
        <w:rPr>
          <w:color w:val="000000"/>
          <w:sz w:val="24"/>
          <w:szCs w:val="24"/>
        </w:rPr>
      </w:pPr>
      <w:r>
        <w:rPr>
          <w:color w:val="000000"/>
          <w:sz w:val="24"/>
          <w:szCs w:val="24"/>
        </w:rPr>
        <w:t>6.2 За отказ от возмещения, причиненного Учреждению материального ущерба, Проживающий может быть выселен из общежития или лишен права пользования жилым помещением общежития.</w:t>
      </w:r>
    </w:p>
    <w:p>
      <w:pPr>
        <w:pStyle w:val="para12"/>
        <w:ind w:firstLine="709"/>
        <w:spacing w:line="240" w:lineRule="auto"/>
        <w:tabs defTabSz="708">
          <w:tab w:val="left" w:pos="987" w:leader="none"/>
        </w:tabs>
        <w:rPr>
          <w:color w:val="000000"/>
          <w:sz w:val="24"/>
          <w:szCs w:val="24"/>
        </w:rPr>
      </w:pPr>
      <w:r>
        <w:rPr>
          <w:color w:val="000000"/>
          <w:sz w:val="24"/>
          <w:szCs w:val="24"/>
        </w:rPr>
        <w:t>6.3. Администрация Учреждения не несет ответственность за сохранность документов, личных вещей, денег Проживающего.</w:t>
      </w:r>
    </w:p>
    <w:p>
      <w:pPr>
        <w:pStyle w:val="para12"/>
        <w:ind w:firstLine="709"/>
        <w:spacing w:line="240" w:lineRule="auto"/>
        <w:tabs defTabSz="708">
          <w:tab w:val="left" w:pos="987" w:leader="none"/>
        </w:tabs>
        <w:rPr>
          <w:color w:val="000000"/>
          <w:sz w:val="24"/>
          <w:szCs w:val="24"/>
        </w:rPr>
      </w:pPr>
      <w:r>
        <w:rPr>
          <w:color w:val="000000"/>
          <w:sz w:val="24"/>
          <w:szCs w:val="24"/>
        </w:rPr>
        <w:t>6.4. Администрация не несет ответственности за вред, причиненный жизни и здоровью Проживающего если наступление вреда является следствием форс-мажорных обстоятельств (стихийные явления природы, в том числе наводнения, пожары, землетрясения, взрывы, шторм, эпидемии, акты и действия государственных органов,</w:t>
      </w:r>
      <w:r>
        <w:rPr>
          <w:color w:val="000000"/>
        </w:rPr>
        <w:t xml:space="preserve"> </w:t>
      </w:r>
      <w:r>
        <w:rPr>
          <w:color w:val="000000"/>
          <w:sz w:val="24"/>
          <w:szCs w:val="24"/>
        </w:rPr>
        <w:t xml:space="preserve">носящий запретительный характер, опасности и случайности на море, суше, войны, банковские ограничения, забастовки, локауты, акции общественного неповиновения и (или) протеста, блокады актов и действий государственных органов носящий запретительный характер, третьих лиц, третьей стороны, стихийных явлений природы, </w:t>
      </w:r>
      <w:r>
        <w:rPr>
          <w:color w:val="000000"/>
          <w:spacing w:val="0" w:percent="100"/>
          <w:sz w:val="24"/>
          <w:szCs w:val="24"/>
        </w:rPr>
        <w:t>воздействия факторов внешней силы, связанных с применением беспилотных аппаратов, ракетно-артиллерийского вооружения или средств огневого поражения</w:t>
      </w:r>
      <w:r>
        <w:rPr>
          <w:color w:val="000000"/>
          <w:sz w:val="24"/>
          <w:szCs w:val="24"/>
        </w:rPr>
        <w:t xml:space="preserve"> и других обстоятельств непреодолимой силы, не зависящих от воли сторон и возникающих после  подписания данного Договора).</w:t>
      </w:r>
      <w:r>
        <w:rPr>
          <w:color w:val="000000"/>
          <w:sz w:val="24"/>
          <w:szCs w:val="24"/>
        </w:rPr>
      </w:r>
    </w:p>
    <w:p>
      <w:pPr>
        <w:pStyle w:val="para12"/>
        <w:ind w:firstLine="709"/>
        <w:spacing w:line="240" w:lineRule="auto"/>
        <w:tabs defTabSz="708">
          <w:tab w:val="left" w:pos="987" w:leader="none"/>
        </w:tabs>
        <w:rPr>
          <w:color w:val="000000"/>
          <w:sz w:val="24"/>
          <w:szCs w:val="24"/>
        </w:rPr>
      </w:pPr>
      <w:r>
        <w:rPr>
          <w:color w:val="000000"/>
          <w:sz w:val="24"/>
          <w:szCs w:val="24"/>
        </w:rPr>
      </w:r>
    </w:p>
    <w:p>
      <w:pPr>
        <w:pStyle w:val="para12"/>
        <w:ind w:firstLine="709"/>
        <w:spacing w:line="240" w:lineRule="auto"/>
        <w:jc w:val="center"/>
        <w:tabs defTabSz="708">
          <w:tab w:val="left" w:pos="987" w:leader="none"/>
        </w:tabs>
        <w:rPr>
          <w:color w:val="000000"/>
          <w:sz w:val="24"/>
          <w:szCs w:val="24"/>
        </w:rPr>
      </w:pPr>
      <w:r>
        <w:rPr>
          <w:color w:val="000000"/>
          <w:sz w:val="24"/>
          <w:szCs w:val="24"/>
        </w:rPr>
        <w:t>7. Прекращение и расторжение договора</w:t>
      </w:r>
    </w:p>
    <w:p>
      <w:pPr>
        <w:pStyle w:val="para12"/>
        <w:ind w:firstLine="709"/>
        <w:spacing w:line="240" w:lineRule="auto"/>
        <w:tabs defTabSz="708">
          <w:tab w:val="left" w:pos="987" w:leader="none"/>
        </w:tabs>
        <w:rPr>
          <w:color w:val="000000"/>
          <w:sz w:val="24"/>
          <w:szCs w:val="24"/>
        </w:rPr>
      </w:pPr>
      <w:r>
        <w:rPr>
          <w:color w:val="000000"/>
          <w:sz w:val="24"/>
          <w:szCs w:val="24"/>
        </w:rPr>
        <w:t>7.1. Договор найма жилого помещения может быть расторгнут в любое время по соглашению сторон.</w:t>
      </w:r>
    </w:p>
    <w:p>
      <w:pPr>
        <w:pStyle w:val="para12"/>
        <w:ind w:firstLine="709"/>
        <w:spacing w:line="240" w:lineRule="auto"/>
        <w:tabs defTabSz="708">
          <w:tab w:val="left" w:pos="987" w:leader="none"/>
        </w:tabs>
        <w:rPr>
          <w:color w:val="000000"/>
          <w:sz w:val="24"/>
          <w:szCs w:val="24"/>
        </w:rPr>
      </w:pPr>
      <w:r>
        <w:rPr>
          <w:color w:val="000000"/>
          <w:sz w:val="24"/>
          <w:szCs w:val="24"/>
        </w:rPr>
        <w:t>7.2. Наниматель, Проживающий жилого помещения в любое время может расторгнуть договор найма жилого помещения.</w:t>
      </w:r>
    </w:p>
    <w:p>
      <w:pPr>
        <w:pStyle w:val="para12"/>
        <w:ind w:firstLine="709"/>
        <w:spacing w:line="240" w:lineRule="auto"/>
        <w:tabs defTabSz="708">
          <w:tab w:val="left" w:pos="987" w:leader="none"/>
        </w:tabs>
        <w:rPr>
          <w:color w:val="000000"/>
          <w:sz w:val="24"/>
          <w:szCs w:val="24"/>
        </w:rPr>
      </w:pPr>
      <w:r>
        <w:rPr>
          <w:color w:val="000000"/>
          <w:sz w:val="24"/>
          <w:szCs w:val="24"/>
        </w:rPr>
        <w:t>7.3. Настоящий Договор прекращается в связи:</w:t>
      </w:r>
    </w:p>
    <w:p>
      <w:pPr>
        <w:pStyle w:val="para12"/>
        <w:ind w:firstLine="709"/>
        <w:spacing w:line="240" w:lineRule="auto"/>
        <w:tabs defTabSz="708">
          <w:tab w:val="left" w:pos="987" w:leader="none"/>
        </w:tabs>
        <w:rPr>
          <w:color w:val="000000"/>
          <w:sz w:val="24"/>
          <w:szCs w:val="24"/>
        </w:rPr>
      </w:pPr>
      <w:r>
        <w:rPr>
          <w:color w:val="000000"/>
          <w:sz w:val="24"/>
          <w:szCs w:val="24"/>
        </w:rPr>
        <w:t>1) с утратой (разрушением) жилого помещения;</w:t>
      </w:r>
    </w:p>
    <w:p>
      <w:pPr>
        <w:pStyle w:val="para12"/>
        <w:ind w:firstLine="709"/>
        <w:spacing w:line="240" w:lineRule="auto"/>
        <w:tabs defTabSz="708">
          <w:tab w:val="left" w:pos="987" w:leader="none"/>
        </w:tabs>
        <w:rPr>
          <w:color w:val="000000"/>
          <w:sz w:val="24"/>
          <w:szCs w:val="24"/>
        </w:rPr>
      </w:pPr>
      <w:r>
        <w:rPr>
          <w:color w:val="000000"/>
          <w:sz w:val="24"/>
          <w:szCs w:val="24"/>
        </w:rPr>
        <w:t>2) со смертью Проживающего;</w:t>
      </w:r>
    </w:p>
    <w:p>
      <w:pPr>
        <w:pStyle w:val="para12"/>
        <w:ind w:firstLine="709"/>
        <w:spacing w:line="240" w:lineRule="auto"/>
        <w:tabs defTabSz="708">
          <w:tab w:val="left" w:pos="987" w:leader="none"/>
        </w:tabs>
        <w:rPr>
          <w:color w:val="000000"/>
          <w:sz w:val="24"/>
          <w:szCs w:val="24"/>
        </w:rPr>
      </w:pPr>
      <w:r>
        <w:rPr>
          <w:color w:val="000000"/>
          <w:sz w:val="24"/>
          <w:szCs w:val="24"/>
        </w:rPr>
        <w:t>3) с окончанием срока обучения.</w:t>
      </w:r>
    </w:p>
    <w:p>
      <w:pPr>
        <w:pStyle w:val="para12"/>
        <w:ind w:firstLine="709"/>
        <w:spacing w:line="240" w:lineRule="auto"/>
        <w:tabs defTabSz="708">
          <w:tab w:val="left" w:pos="987" w:leader="none"/>
        </w:tabs>
        <w:rPr>
          <w:color w:val="000000"/>
          <w:sz w:val="24"/>
          <w:szCs w:val="24"/>
        </w:rPr>
      </w:pPr>
      <w:r>
        <w:rPr>
          <w:color w:val="000000"/>
          <w:sz w:val="24"/>
          <w:szCs w:val="24"/>
        </w:rPr>
        <w:t>Прекращение обучения является безусловным основанием прекращения договора найма жилого помещения в общежитии.</w:t>
      </w:r>
    </w:p>
    <w:p>
      <w:pPr>
        <w:pStyle w:val="para12"/>
        <w:ind w:firstLine="709"/>
        <w:spacing w:line="240" w:lineRule="auto"/>
        <w:tabs defTabSz="708">
          <w:tab w:val="left" w:pos="987" w:leader="none"/>
        </w:tabs>
        <w:rPr>
          <w:color w:val="000000"/>
          <w:sz w:val="24"/>
          <w:szCs w:val="24"/>
        </w:rPr>
      </w:pPr>
      <w:r>
        <w:rPr>
          <w:color w:val="000000"/>
          <w:sz w:val="24"/>
          <w:szCs w:val="24"/>
        </w:rPr>
        <w:t xml:space="preserve">7.4. В случаях расторжения или прекращения договоров найма жилого помещения Наниматель, Проживающий должен освободить в трехдневный срок жилое помещение, которое он занимал по данному договору. </w:t>
      </w:r>
    </w:p>
    <w:p>
      <w:pPr>
        <w:pStyle w:val="para12"/>
        <w:ind w:firstLine="709"/>
        <w:spacing w:line="240" w:lineRule="auto"/>
        <w:tabs defTabSz="708">
          <w:tab w:val="left" w:pos="987" w:leader="none"/>
        </w:tabs>
        <w:rPr>
          <w:color w:val="000000"/>
          <w:sz w:val="24"/>
          <w:szCs w:val="24"/>
        </w:rPr>
      </w:pPr>
      <w:r>
        <w:rPr>
          <w:color w:val="000000"/>
          <w:sz w:val="24"/>
          <w:szCs w:val="24"/>
        </w:rPr>
        <w:t>7.5. Настоящий договор может быть расторгнут по требованию Наймодателя в случаях:</w:t>
      </w:r>
    </w:p>
    <w:p>
      <w:pPr>
        <w:pStyle w:val="para12"/>
        <w:ind w:firstLine="709"/>
        <w:spacing w:line="240" w:lineRule="auto"/>
        <w:tabs defTabSz="708">
          <w:tab w:val="left" w:pos="987" w:leader="none"/>
        </w:tabs>
        <w:rPr>
          <w:color w:val="000000"/>
          <w:sz w:val="24"/>
          <w:szCs w:val="24"/>
        </w:rPr>
      </w:pPr>
      <w:r>
        <w:rPr>
          <w:color w:val="000000"/>
          <w:sz w:val="24"/>
          <w:szCs w:val="24"/>
        </w:rPr>
        <w:t>1) невнесения нанимателем платы за жилое помещение и (или) коммунальные услуги в течение более трех месяцев;</w:t>
      </w:r>
    </w:p>
    <w:p>
      <w:pPr>
        <w:pStyle w:val="para12"/>
        <w:ind w:firstLine="709"/>
        <w:spacing w:line="240" w:lineRule="auto"/>
        <w:tabs defTabSz="708">
          <w:tab w:val="left" w:pos="987" w:leader="none"/>
        </w:tabs>
        <w:rPr>
          <w:color w:val="000000"/>
          <w:sz w:val="24"/>
          <w:szCs w:val="24"/>
        </w:rPr>
      </w:pPr>
      <w:r>
        <w:rPr>
          <w:color w:val="000000"/>
          <w:sz w:val="24"/>
          <w:szCs w:val="24"/>
        </w:rPr>
        <w:t>2) разрушения или повреждения жилого помещения, порчи имущества, оборудования Проживающим;</w:t>
      </w:r>
    </w:p>
    <w:p>
      <w:pPr>
        <w:pStyle w:val="para12"/>
        <w:ind w:firstLine="709"/>
        <w:spacing w:line="240" w:lineRule="auto"/>
        <w:tabs defTabSz="708">
          <w:tab w:val="left" w:pos="987" w:leader="none"/>
        </w:tabs>
        <w:rPr>
          <w:color w:val="000000"/>
          <w:sz w:val="24"/>
          <w:szCs w:val="24"/>
        </w:rPr>
      </w:pPr>
      <w:r>
        <w:rPr>
          <w:color w:val="000000"/>
          <w:sz w:val="24"/>
          <w:szCs w:val="24"/>
        </w:rPr>
        <w:t>3) систематического нарушения прав и законных интересов соседей, которое делает невозможным проживание в жилом помещении (правила внутреннего распорядка общежития (употребление спиртных напитков, наркотических веществ, курение в помещениях общежития, грубость и хамство, антисанитарное содержание предоставленной комнаты помещений общежития, прогулы учебных занятий без уважительных причин, отказ от участия в работах по самообслуживанию);</w:t>
      </w:r>
    </w:p>
    <w:p>
      <w:pPr>
        <w:pStyle w:val="para12"/>
        <w:ind w:firstLine="709"/>
        <w:spacing w:line="240" w:lineRule="auto"/>
        <w:tabs defTabSz="708">
          <w:tab w:val="left" w:pos="987" w:leader="none"/>
        </w:tabs>
        <w:rPr>
          <w:color w:val="000000"/>
          <w:sz w:val="24"/>
          <w:szCs w:val="24"/>
        </w:rPr>
      </w:pPr>
      <w:r>
        <w:rPr>
          <w:color w:val="000000"/>
          <w:sz w:val="24"/>
          <w:szCs w:val="24"/>
        </w:rPr>
        <w:t>4) использования жилого помещения не по назначению;</w:t>
      </w:r>
    </w:p>
    <w:p>
      <w:pPr>
        <w:pStyle w:val="para12"/>
        <w:ind w:firstLine="709"/>
        <w:spacing w:line="240" w:lineRule="auto"/>
        <w:tabs defTabSz="708">
          <w:tab w:val="left" w:pos="987" w:leader="none"/>
        </w:tabs>
        <w:rPr>
          <w:color w:val="000000"/>
          <w:sz w:val="24"/>
          <w:szCs w:val="24"/>
        </w:rPr>
      </w:pPr>
      <w:r>
        <w:rPr>
          <w:color w:val="000000"/>
          <w:sz w:val="24"/>
          <w:szCs w:val="24"/>
        </w:rPr>
        <w:t>5) нарушение правил техники безопасности, пожарной безопасностив в общежитии;</w:t>
      </w:r>
    </w:p>
    <w:p>
      <w:pPr>
        <w:pStyle w:val="para12"/>
        <w:ind w:firstLine="709"/>
        <w:spacing w:line="240" w:lineRule="auto"/>
        <w:tabs defTabSz="708">
          <w:tab w:val="left" w:pos="987" w:leader="none"/>
        </w:tabs>
        <w:rPr>
          <w:color w:val="000000"/>
          <w:sz w:val="24"/>
          <w:szCs w:val="24"/>
        </w:rPr>
      </w:pPr>
      <w:r>
        <w:rPr>
          <w:color w:val="000000"/>
          <w:sz w:val="24"/>
          <w:szCs w:val="24"/>
        </w:rPr>
        <w:t>6) в иных случаях, предусмотренных локальными актами Наймодателя;</w:t>
      </w:r>
    </w:p>
    <w:p>
      <w:pPr>
        <w:pStyle w:val="para12"/>
        <w:ind w:firstLine="709"/>
        <w:spacing w:line="240" w:lineRule="auto"/>
        <w:tabs defTabSz="708">
          <w:tab w:val="left" w:pos="987" w:leader="none"/>
        </w:tabs>
        <w:rPr>
          <w:color w:val="000000"/>
          <w:sz w:val="24"/>
          <w:szCs w:val="24"/>
        </w:rPr>
      </w:pPr>
      <w:r>
        <w:rPr>
          <w:color w:val="000000"/>
          <w:sz w:val="24"/>
          <w:szCs w:val="24"/>
        </w:rPr>
        <w:t>7) не выполнение условий настоящего Договора;</w:t>
      </w:r>
    </w:p>
    <w:p>
      <w:pPr>
        <w:pStyle w:val="para12"/>
        <w:ind w:firstLine="709"/>
        <w:spacing w:line="240" w:lineRule="auto"/>
        <w:tabs defTabSz="708">
          <w:tab w:val="left" w:pos="987" w:leader="none"/>
        </w:tabs>
        <w:rPr>
          <w:color w:val="000000"/>
          <w:sz w:val="24"/>
          <w:szCs w:val="24"/>
        </w:rPr>
      </w:pPr>
      <w:r>
        <w:rPr>
          <w:color w:val="000000"/>
          <w:sz w:val="24"/>
          <w:szCs w:val="24"/>
        </w:rPr>
        <w:t>8) отчисления Проживающего из Учреждения;</w:t>
      </w:r>
    </w:p>
    <w:p>
      <w:pPr>
        <w:pStyle w:val="para12"/>
        <w:ind w:firstLine="709"/>
        <w:spacing w:line="240" w:lineRule="auto"/>
        <w:tabs defTabSz="708">
          <w:tab w:val="left" w:pos="98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sz w:val="24"/>
          <w:szCs w:val="24"/>
        </w:rPr>
      </w:pPr>
      <w:r>
        <w:rPr>
          <w:color w:val="000000"/>
          <w:sz w:val="24"/>
          <w:szCs w:val="24"/>
        </w:rPr>
        <w:t>7.6. В случае расторжения договора найма Проживающий подлежит выселению из помещения.</w:t>
      </w:r>
    </w:p>
    <w:p>
      <w:pPr>
        <w:pStyle w:val="para12"/>
        <w:ind w:firstLine="709"/>
        <w:spacing w:line="240" w:lineRule="auto"/>
        <w:tabs defTabSz="708">
          <w:tab w:val="left" w:pos="987" w:leader="none"/>
        </w:tabs>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none"/>
        <w:rPr>
          <w:color w:val="000000"/>
          <w:sz w:val="24"/>
          <w:szCs w:val="24"/>
        </w:rPr>
      </w:pPr>
      <w:r>
        <w:rPr>
          <w:color w:val="000000"/>
          <w:sz w:val="24"/>
          <w:szCs w:val="24"/>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8. Заключительные положения</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8.1. Настоящий договор вступает в силу с момента его подписания и действует с «_______» ____________20__г. по «_______» ________20___г.</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8.2. 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8.3. Договор   заключен в двух экземплярах на русском языке, имеющих одинаковую юридическую силу, по одному для каждой из сторон. Один экземпляр договора найма жилого помещения в общежитии находится у Наймодателя, другой у Нанимателя или у Проживающего.</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 xml:space="preserve">8.4.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8.5. В части, неурегулированной настоящим Договором, стороны руководствуются законодательством Российской Федерации.</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ind w:firstLine="709"/>
        <w:spacing/>
        <w:jc w:val="center"/>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9. Защита персональных данных</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9.1. Наниматель и Проживающий, подписывая настоящий Договор, в соответствии с Федеральным законом от 27. 07.2006 № 152-ФЗ «О персональных данных» своей волей и в своих интересах дает согласие Учреждению на сбор, систематизацию, накопление, хранение, уточнение (обновление, изменение) использование и обработку персональных данных - любой информации относящейся к нему как к физическому лицу (субъекту персональных данных) (фамилия, имя, отчество; год, месяц, дата рождения; место рождения; номер и серия основного документа, удостоверяющего личность; сведения о наградах, медалях, поощрениях, почетных званиях; сведения о платежных реквизитах (№ счета в банке, почтовое отделение,№ пластиковой карты); сведения о доходах имущественных обязательствах; информация об образовании (наименование образовательного учреждения, сведения о документах, подтверждающих образование: наименование, номер, дата выдачи, специальность); адреса фактического места проживания и регистрации по местожительству, почтовые и электронные адреса, номера телефонов, фотографии, информация о трудовой деятельности и стаже работы(место работы, должность, общий стаж, страховой, календарный, оплачиваемый); данные о состоянии здоровья и группе инвалидности; жилищные условия; семейное положение и состав семьи(муж /жена, дети), способом и в рамках и с целью указанного Закона.</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9.2. Настоящее согласие действует с момента заключения Договора и прекращается в следующих случаях:</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t>По письменному заявлению (отзыву) Проживающего; прекращения действия настоящего Договора.</w:t>
      </w:r>
    </w:p>
    <w:p>
      <w:pPr>
        <w:ind w:firstLine="709"/>
        <w:spacing/>
        <w:jc w:val="both"/>
        <w:tabs defTabSz="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rPr>
      </w:r>
    </w:p>
    <w:p>
      <w:pPr>
        <w:pStyle w:val="para2"/>
        <w:ind w:firstLine="709"/>
        <w:spacing/>
        <w:jc w:val="center"/>
        <w:rPr>
          <w:color w:val="000000"/>
          <w:szCs w:val="24"/>
        </w:rPr>
      </w:pPr>
      <w:r>
        <w:rPr>
          <w:color w:val="000000"/>
          <w:szCs w:val="24"/>
        </w:rPr>
        <w:t>9. Адреса и реквизиты сторон</w:t>
      </w:r>
    </w:p>
    <w:tbl>
      <w:tblPr>
        <w:tblStyle w:val="NormalTable"/>
        <w:name w:val="Таблица1"/>
        <w:tabOrder w:val="0"/>
        <w:jc w:val="left"/>
        <w:tblInd w:w="-458" w:type="dxa"/>
        <w:tblW w:w="10704" w:type="dxa"/>
        <w:pPr>
          <w:ind w:left="-458"/>
        </w:pPr>
        <w:tblLook w:val="0000" w:firstRow="0" w:lastRow="0" w:firstColumn="0" w:lastColumn="0" w:noHBand="0" w:noVBand="0"/>
      </w:tblPr>
      <w:tblGrid>
        <w:gridCol w:w="3543"/>
        <w:gridCol w:w="3554"/>
        <w:gridCol w:w="3607"/>
      </w:tblGrid>
      <w:tr>
        <w:trPr>
          <w:tblHeader w:val="0"/>
          <w:cantSplit w:val="0"/>
          <w:trHeight w:val="882" w:hRule="atLeast"/>
        </w:trPr>
        <w:tc>
          <w:tcPr>
            <w:tcW w:w="3543" w:type="dxa"/>
            <w:vAlign w:val="center"/>
            <w:tcMar>
              <w:left w:w="64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pStyle w:val="para2"/>
              <w:ind w:left="0"/>
              <w:spacing/>
              <w:jc w:val="center"/>
              <w:rPr>
                <w:color w:val="000000"/>
                <w:sz w:val="20"/>
              </w:rPr>
            </w:pPr>
            <w:r>
              <w:rPr>
                <w:color w:val="000000"/>
                <w:sz w:val="20"/>
              </w:rPr>
              <w:t>Наймодатель</w:t>
            </w:r>
          </w:p>
        </w:tc>
        <w:tc>
          <w:tcPr>
            <w:tcW w:w="3554"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pStyle w:val="para2"/>
              <w:spacing/>
              <w:jc w:val="center"/>
              <w:rPr>
                <w:color w:val="000000"/>
                <w:sz w:val="20"/>
              </w:rPr>
            </w:pPr>
            <w:r>
              <w:rPr>
                <w:color w:val="000000"/>
                <w:sz w:val="20"/>
              </w:rPr>
              <w:t>Наниматель</w:t>
            </w:r>
          </w:p>
        </w:tc>
        <w:tc>
          <w:tcPr>
            <w:tcW w:w="3607"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center"/>
              <w:rPr>
                <w:color w:val="000000"/>
                <w:sz w:val="20"/>
                <w:szCs w:val="20"/>
              </w:rPr>
            </w:pPr>
            <w:r>
              <w:rPr>
                <w:color w:val="000000"/>
                <w:sz w:val="20"/>
                <w:szCs w:val="20"/>
              </w:rPr>
              <w:t>Проживающий</w:t>
            </w:r>
          </w:p>
          <w:p>
            <w:pPr>
              <w:spacing/>
              <w:jc w:val="center"/>
              <w:rPr>
                <w:color w:val="000000"/>
                <w:sz w:val="20"/>
                <w:szCs w:val="20"/>
              </w:rPr>
            </w:pPr>
            <w:r>
              <w:rPr>
                <w:color w:val="000000"/>
                <w:sz w:val="20"/>
                <w:szCs w:val="20"/>
              </w:rPr>
              <w:t>(несовершеннолетний обучающийся)</w:t>
            </w:r>
          </w:p>
        </w:tc>
      </w:tr>
      <w:tr>
        <w:trPr>
          <w:tblHeader w:val="0"/>
          <w:cantSplit w:val="0"/>
          <w:trHeight w:val="819" w:hRule="atLeast"/>
        </w:trPr>
        <w:tc>
          <w:tcPr>
            <w:tcW w:w="3543" w:type="dxa"/>
            <w:vAlign w:val="center"/>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Государственное бюджетное профессиональное образовательное учреждение «Керченский морской технический колледж»</w:t>
            </w:r>
          </w:p>
        </w:tc>
        <w:tc>
          <w:tcPr>
            <w:tcW w:w="35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ФИО_______________________</w:t>
            </w:r>
          </w:p>
          <w:p>
            <w:pPr>
              <w:spacing/>
              <w:jc w:val="both"/>
              <w:rPr>
                <w:color w:val="000000"/>
                <w:sz w:val="20"/>
                <w:szCs w:val="20"/>
              </w:rPr>
            </w:pPr>
            <w:r>
              <w:rPr>
                <w:color w:val="000000"/>
                <w:sz w:val="20"/>
                <w:szCs w:val="20"/>
              </w:rPr>
              <w:t>____________________________</w:t>
            </w:r>
          </w:p>
          <w:p>
            <w:pPr>
              <w:spacing/>
              <w:jc w:val="both"/>
              <w:rPr>
                <w:color w:val="000000"/>
                <w:sz w:val="20"/>
                <w:szCs w:val="20"/>
              </w:rPr>
            </w:pPr>
            <w:r>
              <w:rPr>
                <w:color w:val="000000"/>
                <w:sz w:val="20"/>
                <w:szCs w:val="20"/>
              </w:rPr>
              <w:t>____________________________</w:t>
            </w:r>
          </w:p>
          <w:p>
            <w:pPr>
              <w:spacing/>
              <w:jc w:val="both"/>
              <w:rPr>
                <w:color w:val="000000"/>
                <w:sz w:val="20"/>
                <w:szCs w:val="20"/>
              </w:rPr>
            </w:pPr>
            <w:r>
              <w:rPr>
                <w:color w:val="000000"/>
                <w:sz w:val="20"/>
                <w:szCs w:val="20"/>
              </w:rPr>
            </w:r>
          </w:p>
        </w:tc>
        <w:tc>
          <w:tcPr>
            <w:tcW w:w="36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ФИО______________________</w:t>
            </w:r>
          </w:p>
          <w:p>
            <w:pPr>
              <w:spacing/>
              <w:jc w:val="both"/>
              <w:rPr>
                <w:color w:val="000000"/>
                <w:sz w:val="20"/>
                <w:szCs w:val="20"/>
              </w:rPr>
            </w:pPr>
            <w:r>
              <w:rPr>
                <w:color w:val="000000"/>
                <w:sz w:val="20"/>
                <w:szCs w:val="20"/>
              </w:rPr>
              <w:t>___________________________</w:t>
            </w:r>
          </w:p>
          <w:p>
            <w:pPr>
              <w:spacing/>
              <w:jc w:val="both"/>
              <w:rPr>
                <w:color w:val="000000"/>
                <w:sz w:val="20"/>
                <w:szCs w:val="20"/>
              </w:rPr>
            </w:pPr>
            <w:r>
              <w:rPr>
                <w:color w:val="000000"/>
                <w:sz w:val="20"/>
                <w:szCs w:val="20"/>
              </w:rPr>
              <w:t>___________________________</w:t>
            </w:r>
          </w:p>
          <w:p>
            <w:pPr>
              <w:spacing/>
              <w:jc w:val="both"/>
              <w:rPr>
                <w:color w:val="000000"/>
                <w:sz w:val="20"/>
                <w:szCs w:val="20"/>
              </w:rPr>
            </w:pPr>
            <w:r>
              <w:rPr>
                <w:color w:val="000000"/>
                <w:sz w:val="20"/>
                <w:szCs w:val="20"/>
              </w:rPr>
            </w:r>
          </w:p>
        </w:tc>
      </w:tr>
      <w:tr>
        <w:trPr>
          <w:tblHeader w:val="0"/>
          <w:cantSplit w:val="0"/>
          <w:trHeight w:val="1677" w:hRule="atLeast"/>
        </w:trPr>
        <w:tc>
          <w:tcPr>
            <w:tcW w:w="354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rPr>
                <w:color w:val="000000"/>
                <w:spacing w:val="-2" w:percent="98"/>
                <w:sz w:val="20"/>
                <w:szCs w:val="20"/>
                <w:lang w:val="de-at"/>
              </w:rPr>
            </w:pPr>
            <w:r>
              <w:rPr>
                <w:color w:val="000000"/>
                <w:spacing w:val="-2" w:percent="98"/>
                <w:sz w:val="20"/>
                <w:szCs w:val="20"/>
                <w:lang w:val="de-at"/>
              </w:rPr>
              <w:t>Юридический адрес: 298329 Российская Федерация, Республика Крым, г.о. Керчь, г. Керчь, ул. Свердлова, зд. 55 ИНН 9111007375 КПП 911101001 ОКТМО 35715000001 ОГРН 1149102128240 Платежные реквизиты: Наименование учреждения Банка России: ОКЦ №1 Волго-Вятского ГУ Банка России // УФК по Нижегородской области, г.Нижний Новгород БИК 012202102 Корреспондентский счет 40102810745370000024 Казначейский счет 03224643350000003200 Наименование территориального органа Федерального казначейства, в котором открыт лицевой счет: УФК по Республике Крым Номер лицевого счета: 802Щ9274000 Код по сводному реестру 352Щ9274 Бик 00000000000000000130</w:t>
            </w:r>
          </w:p>
          <w:p>
            <w:pPr>
              <w:rPr>
                <w:color w:val="000000"/>
                <w:spacing w:val="-2" w:percent="98"/>
                <w:sz w:val="20"/>
                <w:szCs w:val="20"/>
                <w:lang w:val="de-at"/>
              </w:rPr>
            </w:pPr>
            <w:r>
              <w:rPr>
                <w:color w:val="000000"/>
                <w:spacing w:val="-2" w:percent="98"/>
                <w:sz w:val="20"/>
                <w:szCs w:val="20"/>
                <w:lang w:val="de-at"/>
              </w:rPr>
              <w:t>E-mail: kmtc@rckmtc.ru</w:t>
            </w:r>
          </w:p>
          <w:p>
            <w:pPr>
              <w:pStyle w:val="para10"/>
              <w:spacing/>
              <w:jc w:val="both"/>
              <w:rPr>
                <w:rFonts w:ascii="Times New Roman" w:hAnsi="Times New Roman" w:cs="Times New Roman"/>
                <w:color w:val="000000"/>
                <w:lang w:val="en-us"/>
              </w:rPr>
            </w:pPr>
            <w:r>
              <w:rPr>
                <w:rFonts w:ascii="Times New Roman" w:hAnsi="Times New Roman" w:cs="Times New Roman"/>
                <w:color w:val="000000"/>
                <w:spacing w:val="-2" w:percent="98"/>
              </w:rPr>
              <w:t>тел</w:t>
            </w:r>
            <w:r>
              <w:rPr>
                <w:rFonts w:ascii="Times New Roman" w:hAnsi="Times New Roman" w:cs="Times New Roman"/>
                <w:color w:val="000000"/>
                <w:spacing w:val="-2" w:percent="98"/>
                <w:lang w:val="en-us"/>
              </w:rPr>
              <w:t>.: (36561) 6-10-66</w:t>
            </w:r>
            <w:r>
              <w:rPr>
                <w:rFonts w:ascii="Times New Roman" w:hAnsi="Times New Roman" w:cs="Times New Roman"/>
                <w:color w:val="000000"/>
                <w:lang w:val="en-us"/>
              </w:rPr>
            </w:r>
          </w:p>
        </w:tc>
        <w:tc>
          <w:tcPr>
            <w:tcW w:w="35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паспорт_____________________</w:t>
            </w:r>
          </w:p>
          <w:p>
            <w:pPr>
              <w:spacing/>
              <w:jc w:val="both"/>
              <w:rPr>
                <w:color w:val="000000"/>
                <w:sz w:val="20"/>
                <w:szCs w:val="20"/>
              </w:rPr>
            </w:pPr>
            <w:r>
              <w:rPr>
                <w:color w:val="000000"/>
                <w:sz w:val="20"/>
                <w:szCs w:val="20"/>
                <w:u w:color="auto" w:val="single"/>
              </w:rPr>
              <w:t>серия</w:t>
            </w:r>
            <w:r>
              <w:rPr>
                <w:color w:val="000000"/>
                <w:sz w:val="20"/>
                <w:szCs w:val="20"/>
              </w:rPr>
              <w:t>__________</w:t>
            </w:r>
          </w:p>
          <w:p>
            <w:pPr>
              <w:spacing/>
              <w:jc w:val="both"/>
              <w:rPr>
                <w:color w:val="000000"/>
                <w:sz w:val="20"/>
                <w:szCs w:val="20"/>
              </w:rPr>
            </w:pPr>
            <w:r>
              <w:rPr>
                <w:color w:val="000000"/>
                <w:sz w:val="20"/>
                <w:szCs w:val="20"/>
                <w:u w:color="auto" w:val="single"/>
              </w:rPr>
              <w:t>выдан</w:t>
            </w:r>
            <w:r>
              <w:rPr>
                <w:color w:val="000000"/>
                <w:sz w:val="20"/>
                <w:szCs w:val="20"/>
              </w:rPr>
              <w:t>__________________________</w:t>
            </w:r>
          </w:p>
          <w:p>
            <w:pPr>
              <w:spacing/>
              <w:jc w:val="both"/>
              <w:rPr>
                <w:color w:val="000000"/>
                <w:sz w:val="20"/>
                <w:szCs w:val="20"/>
              </w:rPr>
            </w:pPr>
            <w:r>
              <w:rPr>
                <w:color w:val="000000"/>
                <w:sz w:val="20"/>
                <w:szCs w:val="20"/>
              </w:rPr>
              <w:t>____________________________</w:t>
            </w:r>
          </w:p>
          <w:p>
            <w:pPr>
              <w:spacing/>
              <w:jc w:val="both"/>
              <w:rPr>
                <w:color w:val="000000"/>
                <w:sz w:val="20"/>
                <w:szCs w:val="20"/>
              </w:rPr>
            </w:pPr>
            <w:r>
              <w:rPr>
                <w:color w:val="000000"/>
                <w:sz w:val="20"/>
                <w:szCs w:val="20"/>
              </w:rPr>
              <w:t>Адрес места жительства</w:t>
            </w:r>
          </w:p>
          <w:p>
            <w:pPr>
              <w:spacing/>
              <w:jc w:val="both"/>
              <w:rPr>
                <w:color w:val="000000"/>
                <w:sz w:val="20"/>
                <w:szCs w:val="20"/>
              </w:rPr>
            </w:pPr>
            <w:r>
              <w:rPr>
                <w:color w:val="000000"/>
                <w:sz w:val="20"/>
                <w:szCs w:val="20"/>
              </w:rPr>
              <w:t>____________________________</w:t>
            </w:r>
          </w:p>
          <w:p>
            <w:pPr>
              <w:spacing/>
              <w:jc w:val="both"/>
              <w:rPr>
                <w:color w:val="000000"/>
                <w:sz w:val="20"/>
                <w:szCs w:val="20"/>
              </w:rPr>
            </w:pPr>
            <w:r>
              <w:rPr>
                <w:color w:val="000000"/>
                <w:sz w:val="20"/>
                <w:szCs w:val="20"/>
              </w:rPr>
              <w:t>____________________________</w:t>
            </w:r>
          </w:p>
          <w:p>
            <w:pPr>
              <w:rPr>
                <w:color w:val="000000"/>
                <w:sz w:val="20"/>
                <w:szCs w:val="20"/>
              </w:rPr>
            </w:pPr>
            <w:r>
              <w:rPr>
                <w:color w:val="000000"/>
                <w:sz w:val="20"/>
                <w:szCs w:val="20"/>
              </w:rPr>
              <w:t>Контактный телефон ____________________________</w:t>
            </w:r>
          </w:p>
          <w:p>
            <w:pPr>
              <w:rPr>
                <w:color w:val="000000"/>
                <w:sz w:val="20"/>
                <w:szCs w:val="20"/>
              </w:rPr>
            </w:pPr>
            <w:r>
              <w:rPr>
                <w:color w:val="000000"/>
                <w:sz w:val="20"/>
                <w:szCs w:val="20"/>
              </w:rPr>
              <w:t>С локальными нормативными актами, действующими в Государственном бюджетном профессиональном образовательном учреждении Республики Крым «Керченский морской технический колледж» и непосредственно связанными требованиями, предъявляемыми к проживанию в общежитии, контрольно-пропускному режиму, правилами техники безопасности, пожарной и общественной безопасности, инструкцией по алгоритму действий обучающихся в случае различных видов тревог ознакомлен (-а).</w:t>
            </w:r>
          </w:p>
        </w:tc>
        <w:tc>
          <w:tcPr>
            <w:tcW w:w="36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паспорт____________________</w:t>
            </w:r>
          </w:p>
          <w:p>
            <w:pPr>
              <w:spacing/>
              <w:jc w:val="both"/>
              <w:rPr>
                <w:color w:val="000000"/>
                <w:sz w:val="20"/>
                <w:szCs w:val="20"/>
              </w:rPr>
            </w:pPr>
            <w:r>
              <w:rPr>
                <w:color w:val="000000"/>
                <w:sz w:val="20"/>
                <w:szCs w:val="20"/>
                <w:u w:color="auto" w:val="single"/>
              </w:rPr>
              <w:t>серия</w:t>
            </w:r>
            <w:r>
              <w:rPr>
                <w:color w:val="000000"/>
                <w:sz w:val="20"/>
                <w:szCs w:val="20"/>
              </w:rPr>
              <w:t>__________</w:t>
            </w:r>
            <w:r>
              <w:rPr>
                <w:color w:val="000000"/>
                <w:sz w:val="20"/>
                <w:szCs w:val="20"/>
                <w:u w:color="auto" w:val="single"/>
              </w:rPr>
              <w:t>____________</w:t>
            </w:r>
            <w:r>
              <w:rPr>
                <w:color w:val="000000"/>
                <w:sz w:val="20"/>
                <w:szCs w:val="20"/>
              </w:rPr>
            </w:r>
          </w:p>
          <w:p>
            <w:pPr>
              <w:spacing/>
              <w:jc w:val="both"/>
              <w:rPr>
                <w:color w:val="000000"/>
                <w:sz w:val="20"/>
                <w:szCs w:val="20"/>
              </w:rPr>
            </w:pPr>
            <w:r>
              <w:rPr>
                <w:color w:val="000000"/>
                <w:sz w:val="20"/>
                <w:szCs w:val="20"/>
              </w:rPr>
              <w:t>_</w:t>
            </w:r>
            <w:r>
              <w:rPr>
                <w:color w:val="000000"/>
                <w:sz w:val="20"/>
                <w:szCs w:val="20"/>
                <w:u w:color="auto" w:val="single"/>
              </w:rPr>
              <w:t>выдан</w:t>
            </w:r>
            <w:r>
              <w:rPr>
                <w:color w:val="000000"/>
                <w:sz w:val="20"/>
                <w:szCs w:val="20"/>
              </w:rPr>
              <w:t>______________________</w:t>
            </w:r>
          </w:p>
          <w:p>
            <w:pPr>
              <w:spacing/>
              <w:jc w:val="both"/>
              <w:rPr>
                <w:color w:val="000000"/>
                <w:sz w:val="20"/>
                <w:szCs w:val="20"/>
              </w:rPr>
            </w:pPr>
            <w:r>
              <w:rPr>
                <w:color w:val="000000"/>
                <w:sz w:val="20"/>
                <w:szCs w:val="20"/>
              </w:rPr>
              <w:t>Адрес_______________________</w:t>
            </w:r>
          </w:p>
          <w:p>
            <w:pPr>
              <w:rPr>
                <w:color w:val="000000"/>
                <w:sz w:val="20"/>
                <w:szCs w:val="20"/>
              </w:rPr>
            </w:pPr>
            <w:r>
              <w:rPr>
                <w:color w:val="000000"/>
                <w:sz w:val="20"/>
                <w:szCs w:val="20"/>
              </w:rPr>
              <w:t>_____________________________</w:t>
            </w:r>
          </w:p>
          <w:p>
            <w:pPr>
              <w:spacing/>
              <w:jc w:val="left"/>
              <w:rPr>
                <w:color w:val="000000"/>
                <w:sz w:val="20"/>
                <w:szCs w:val="20"/>
              </w:rPr>
            </w:pPr>
            <w:r>
              <w:rPr>
                <w:color w:val="000000"/>
                <w:sz w:val="20"/>
                <w:szCs w:val="20"/>
              </w:rPr>
              <w:t>Контактный телефон ___________________________</w:t>
            </w:r>
          </w:p>
          <w:p>
            <w:pPr>
              <w:rPr>
                <w:color w:val="000000"/>
                <w:sz w:val="20"/>
                <w:szCs w:val="20"/>
              </w:rPr>
            </w:pPr>
            <w:r>
              <w:rPr>
                <w:color w:val="000000"/>
                <w:sz w:val="20"/>
                <w:szCs w:val="20"/>
              </w:rPr>
              <w:t>С локальными нормативными актами, действующими в Государственном бюджетном профессиональном образовательном учреждении Республики Крым «Керченский морской технический колледж» и непосредственно связанными требованиями, предъявляемыми к проживанию в общежитии, контрольно-пропускному режиму, правилами техники безопасности, пожарной и общественной безопасности, инструкцией по алгоритму действий обучающихся в случае различных видов тревог ознакомлен (-а).</w:t>
            </w:r>
          </w:p>
        </w:tc>
      </w:tr>
      <w:tr>
        <w:trPr>
          <w:tblHeader w:val="0"/>
          <w:cantSplit w:val="0"/>
          <w:trHeight w:val="619" w:hRule="atLeast"/>
        </w:trPr>
        <w:tc>
          <w:tcPr>
            <w:tcW w:w="3543"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pStyle w:val="para10"/>
              <w:rPr>
                <w:rFonts w:ascii="Times New Roman" w:hAnsi="Times New Roman" w:cs="Times New Roman"/>
                <w:color w:val="000000"/>
              </w:rPr>
            </w:pPr>
            <w:r>
              <w:rPr>
                <w:rFonts w:ascii="Times New Roman" w:hAnsi="Times New Roman" w:cs="Times New Roman"/>
                <w:color w:val="000000"/>
              </w:rPr>
              <w:t xml:space="preserve">Директор </w:t>
            </w:r>
          </w:p>
          <w:p>
            <w:pPr>
              <w:pStyle w:val="para10"/>
              <w:rPr>
                <w:rFonts w:ascii="Times New Roman" w:hAnsi="Times New Roman" w:cs="Times New Roman"/>
                <w:color w:val="000000"/>
              </w:rPr>
            </w:pPr>
            <w:r>
              <w:rPr>
                <w:rFonts w:ascii="Times New Roman" w:hAnsi="Times New Roman" w:cs="Times New Roman"/>
                <w:color w:val="000000"/>
              </w:rPr>
              <w:t xml:space="preserve">__________О.А. Самойлович </w:t>
            </w:r>
          </w:p>
          <w:p>
            <w:pPr>
              <w:pStyle w:val="para10"/>
              <w:rPr>
                <w:rFonts w:ascii="Times New Roman" w:hAnsi="Times New Roman" w:cs="Times New Roman"/>
                <w:color w:val="000000"/>
              </w:rPr>
            </w:pPr>
            <w:r>
              <w:rPr>
                <w:rFonts w:ascii="Times New Roman" w:hAnsi="Times New Roman" w:cs="Times New Roman"/>
                <w:color w:val="000000"/>
              </w:rPr>
              <w:t xml:space="preserve">              М.П.</w:t>
            </w:r>
          </w:p>
        </w:tc>
        <w:tc>
          <w:tcPr>
            <w:tcW w:w="3554"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____________________________</w:t>
            </w:r>
          </w:p>
          <w:p>
            <w:pPr>
              <w:pStyle w:val="para9"/>
              <w:rPr>
                <w:rFonts w:ascii="Times New Roman" w:hAnsi="Times New Roman" w:cs="Times New Roman"/>
                <w:color w:val="000000"/>
              </w:rPr>
            </w:pPr>
            <w:r>
              <w:rPr>
                <w:i/>
                <w:color w:val="000000"/>
              </w:rPr>
              <w:t xml:space="preserve">   </w:t>
            </w:r>
            <w:r>
              <w:rPr>
                <w:rFonts w:ascii="Times New Roman" w:hAnsi="Times New Roman" w:cs="Times New Roman"/>
                <w:i/>
                <w:color w:val="000000"/>
              </w:rPr>
              <w:t>(подпись, расшифровка)</w:t>
            </w:r>
            <w:r>
              <w:rPr>
                <w:rFonts w:ascii="Times New Roman" w:hAnsi="Times New Roman" w:cs="Times New Roman"/>
                <w:color w:val="000000"/>
              </w:rPr>
            </w:r>
          </w:p>
        </w:tc>
        <w:tc>
          <w:tcPr>
            <w:tcW w:w="3607"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87778725" protected="0"/>
          </w:tcPr>
          <w:p>
            <w:pPr>
              <w:spacing/>
              <w:jc w:val="both"/>
              <w:rPr>
                <w:color w:val="000000"/>
                <w:sz w:val="20"/>
                <w:szCs w:val="20"/>
              </w:rPr>
            </w:pPr>
            <w:r>
              <w:rPr>
                <w:color w:val="000000"/>
                <w:sz w:val="20"/>
                <w:szCs w:val="20"/>
              </w:rPr>
              <w:t>___________________________</w:t>
            </w:r>
          </w:p>
          <w:p>
            <w:pPr>
              <w:spacing/>
              <w:jc w:val="both"/>
              <w:rPr>
                <w:i/>
                <w:color w:val="000000"/>
                <w:sz w:val="20"/>
                <w:szCs w:val="20"/>
              </w:rPr>
            </w:pPr>
            <w:r>
              <w:rPr>
                <w:i/>
                <w:color w:val="000000"/>
                <w:sz w:val="20"/>
                <w:szCs w:val="20"/>
              </w:rPr>
              <w:t xml:space="preserve">      (подпись, расшифровка)</w:t>
            </w:r>
          </w:p>
        </w:tc>
      </w:tr>
    </w:tbl>
    <w:p>
      <w:pPr>
        <w:ind w:firstLine="709"/>
        <w:tabs defTabSz="708">
          <w:tab w:val="left" w:pos="5746" w:leader="none"/>
        </w:tabs>
        <w:rPr>
          <w:color w:val="000000"/>
        </w:rPr>
      </w:pPr>
      <w:r>
        <w:rPr>
          <w:color w:val="000000"/>
        </w:rPr>
        <w:t>Второй экземпляр Договора на руки получил (а) ___________________________</w:t>
      </w:r>
    </w:p>
    <w:p>
      <w:pPr>
        <w:ind w:firstLine="709"/>
        <w:tabs defTabSz="708">
          <w:tab w:val="left" w:pos="4456" w:leader="none"/>
          <w:tab w:val="left" w:pos="8137" w:leader="none"/>
        </w:tabs>
        <w:rPr>
          <w:color w:val="000000"/>
        </w:rPr>
      </w:pPr>
      <w:r>
        <w:rPr>
          <w:color w:val="000000"/>
        </w:rPr>
        <w:tab/>
        <w:t>ФИО (дата, подпись)</w:t>
      </w:r>
    </w:p>
    <w:sectPr>
      <w:footnotePr>
        <w:pos w:val="pageBottom"/>
        <w:numFmt w:val="decimal"/>
        <w:numStart w:val="1"/>
        <w:numRestart w:val="continuous"/>
      </w:footnotePr>
      <w:endnotePr>
        <w:pos w:val="docEnd"/>
        <w:numFmt w:val="lowerRoman"/>
        <w:numStart w:val="1"/>
        <w:numRestart w:val="continuous"/>
      </w:endnotePr>
      <w:headerReference w:type="default" r:id="rId10"/>
      <w:footerReference w:type="default" r:id="rId11"/>
      <w:headerReference w:type="first" r:id="rId12"/>
      <w:footerReference w:type="first" r:id="rId13"/>
      <w:type w:val="nextPage"/>
      <w:pgSz w:h="16838" w:w="11906"/>
      <w:pgMar w:left="720" w:top="720" w:right="720" w:bottom="720"/>
      <w:paperSrc w:first="0" w:other="0" a="0" b="0"/>
      <w:pgNumType w:fmt="decimal"/>
      <w:titlePg/>
      <w:tmGutter w:val="3"/>
      <w:mirrorMargins w:val="0"/>
      <w:tmSection w:h="-2">
        <w:tmHeader w:id="0" w:h="0" edge="720" text="0">
          <w:shd w:val="none"/>
        </w:tmHeader>
        <w:tmFooter w:id="0" w:h="0" edge="720" text="0">
          <w:shd w:val="none"/>
        </w:tmFooter>
        <w:tmHeader w:id="2" w:h="0" edge="720" text="0">
          <w:shd w:val="none"/>
        </w:tmHeader>
        <w:tmFooter w:id="2" w:h="0" edge="72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ourier New">
    <w:panose1 w:val="02070309020205020404"/>
    <w:charset w:val="cc"/>
    <w:family w:val="modern"/>
    <w:pitch w:val="default"/>
  </w:font>
  <w:font w:name="Wingdings">
    <w:panose1 w:val="05000000000000000000"/>
    <w:charset w:val="02"/>
    <w:family w:val="auto"/>
    <w:pitch w:val="default"/>
  </w:font>
  <w:font w:name="Symbol">
    <w:panose1 w:val="05050102010706020507"/>
    <w:charset w:val="02"/>
    <w:family w:val="roman"/>
    <w:pitch w:val="default"/>
  </w:font>
  <w:font w:name="Calibri">
    <w:panose1 w:val="020F0502020204030204"/>
    <w:charset w:val="cc"/>
    <w:family w:val="swiss"/>
    <w:pitch w:val="default"/>
  </w:font>
  <w:font w:name="Tahoma">
    <w:panose1 w:val="020B0604030504040204"/>
    <w:charset w:val="cc"/>
    <w:family w:val="swiss"/>
    <w:pitch w:val="default"/>
  </w:font>
  <w:font w:name="Cambria">
    <w:panose1 w:val="02040503050406030204"/>
    <w:charset w:val="cc"/>
    <w:family w:val="roman"/>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spacing/>
      <w:jc w:val="right"/>
    </w:pPr>
    <w:r>
      <w:fldChar w:fldCharType="begin"/>
      <w:instrText xml:space="preserve"> PAGE </w:instrText>
      <w:fldChar w:fldCharType="separate"/>
      <w:t>3</w:t>
      <w:fldChar w:fldCharType="end"/>
    </w:r>
  </w:p>
  <w:p>
    <w:pPr>
      <w:pStyle w:val="para14"/>
    </w:pPr>
    <w:r/>
  </w:p>
  <w:p>
    <w:pPr>
      <w:pStyle w:val="para14"/>
      <w:spacing/>
      <w:jc w:val="center"/>
    </w:pPr>
    <w:r>
      <w:fldChar w:fldCharType="begin"/>
      <w:instrText xml:space="preserve"> PAGE </w:instrText>
      <w:fldChar w:fldCharType="separate"/>
      <w:t>3</w:t>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4"/>
      <w:spacing/>
      <w:jc w:val="right"/>
    </w:pPr>
    <w:r>
      <w:fldChar w:fldCharType="begin"/>
      <w:instrText xml:space="preserve"> PAGE </w:instrText>
      <w:fldChar w:fldCharType="separate"/>
      <w:t>1</w:t>
      <w:fldChar w:fldCharType="end"/>
    </w:r>
  </w:p>
  <w:p>
    <w:pPr>
      <w:pStyle w:val="para14"/>
    </w:p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3"/>
    </w:p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3"/>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2"/>
    <w:lvl w:ilvl="0">
      <w:numFmt w:val="bullet"/>
      <w:suff w:val="tab"/>
      <w:lvlText w:val="-"/>
      <w:lvlJc w:val="left"/>
      <w:pPr>
        <w:ind w:left="360" w:hanging="0"/>
      </w:pPr>
      <w:rPr>
        <w:rFonts w:ascii="Times New Roman" w:hAnsi="Times New Roman"/>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Нумерованный список 6"/>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3">
    <w:multiLevelType w:val="singleLevel"/>
    <w:name w:val="Bullet 6"/>
    <w:lvl w:ilvl="0">
      <w:numFmt w:val="bullet"/>
      <w:suff w:val="tab"/>
      <w:lvlText w:val=""/>
      <w:lvlJc w:val="left"/>
      <w:pPr>
        <w:ind w:left="0" w:hanging="0"/>
      </w:pPr>
      <w:rPr>
        <w:rFonts w:ascii="Wingdings" w:hAnsi="Wingdings" w:eastAsia="Wingdings" w:cs="Wingdings"/>
      </w:rPr>
    </w:lvl>
  </w:abstractNum>
  <w:abstractNum w:abstractNumId="4">
    <w:multiLevelType w:val="hybridMultilevel"/>
    <w:name w:val="Нумерованный список 3"/>
    <w:lvl w:ilvl="0">
      <w:numFmt w:val="bullet"/>
      <w:suff w:val="tab"/>
      <w:lvlText w:val="-"/>
      <w:lvlJc w:val="left"/>
      <w:pPr>
        <w:ind w:left="360" w:hanging="0"/>
      </w:pPr>
      <w:rPr>
        <w:rFonts w:ascii="Times New Roman" w:hAnsi="Times New Roman"/>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5">
    <w:multiLevelType w:val="hybridMultilevel"/>
    <w:name w:val="Нумерованный список 1"/>
    <w:lvl w:ilvl="0">
      <w:numFmt w:val="bullet"/>
      <w:suff w:val="tab"/>
      <w:lvlText w:val="-"/>
      <w:lvlJc w:val="left"/>
      <w:pPr>
        <w:ind w:left="360" w:hanging="0"/>
      </w:pPr>
      <w:rPr>
        <w:rFonts w:ascii="Times New Roman" w:hAnsi="Times New Roman"/>
      </w:rPr>
    </w:lvl>
    <w:lvl w:ilvl="1">
      <w:numFmt w:val="bullet"/>
      <w:suff w:val="tab"/>
      <w:lvlText w:val="o"/>
      <w:lvlJc w:val="left"/>
      <w:pPr>
        <w:ind w:left="1080" w:hanging="0"/>
      </w:pPr>
      <w:rPr>
        <w:rFonts w:ascii="Courier New" w:hAnsi="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Нумерованный список 4"/>
    <w:lvl w:ilvl="0">
      <w:start w:val="1"/>
      <w:numFmt w:val="decimal"/>
      <w:suff w:val="tab"/>
      <w:lvlText w:val="%1."/>
      <w:lvlJc w:val="left"/>
      <w:pPr>
        <w:ind w:left="0" w:hanging="0"/>
      </w:pPr>
    </w:lvl>
    <w:lvl w:ilvl="1">
      <w:start w:val="3"/>
      <w:numFmt w:val="decimal"/>
      <w:suff w:val="tab"/>
      <w:lvlText w:val="%1.%2."/>
      <w:lvlJc w:val="left"/>
      <w:pPr>
        <w:ind w:left="525" w:hanging="0"/>
      </w:pPr>
    </w:lvl>
    <w:lvl w:ilvl="2">
      <w:start w:val="1"/>
      <w:numFmt w:val="decimal"/>
      <w:suff w:val="tab"/>
      <w:lvlText w:val="%1.%2.%3."/>
      <w:lvlJc w:val="left"/>
      <w:pPr>
        <w:ind w:left="1050" w:hanging="0"/>
      </w:pPr>
    </w:lvl>
    <w:lvl w:ilvl="3">
      <w:start w:val="1"/>
      <w:numFmt w:val="decimal"/>
      <w:suff w:val="tab"/>
      <w:lvlText w:val="%1.%2.%3.%4."/>
      <w:lvlJc w:val="left"/>
      <w:pPr>
        <w:ind w:left="1575" w:hanging="0"/>
      </w:pPr>
    </w:lvl>
    <w:lvl w:ilvl="4">
      <w:start w:val="1"/>
      <w:numFmt w:val="decimal"/>
      <w:suff w:val="tab"/>
      <w:lvlText w:val="%1.%2.%3.%4.%5."/>
      <w:lvlJc w:val="left"/>
      <w:pPr>
        <w:ind w:left="2100" w:hanging="0"/>
      </w:pPr>
    </w:lvl>
    <w:lvl w:ilvl="5">
      <w:start w:val="1"/>
      <w:numFmt w:val="decimal"/>
      <w:suff w:val="tab"/>
      <w:lvlText w:val="%1.%2.%3.%4.%5.%6."/>
      <w:lvlJc w:val="left"/>
      <w:pPr>
        <w:ind w:left="2625" w:hanging="0"/>
      </w:pPr>
    </w:lvl>
    <w:lvl w:ilvl="6">
      <w:start w:val="1"/>
      <w:numFmt w:val="decimal"/>
      <w:suff w:val="tab"/>
      <w:lvlText w:val="%1.%2.%3.%4.%5.%6.%7."/>
      <w:lvlJc w:val="left"/>
      <w:pPr>
        <w:ind w:left="3150" w:hanging="0"/>
      </w:pPr>
    </w:lvl>
    <w:lvl w:ilvl="7">
      <w:start w:val="1"/>
      <w:numFmt w:val="decimal"/>
      <w:suff w:val="tab"/>
      <w:lvlText w:val="%1.%2.%3.%4.%5.%6.%7.%8."/>
      <w:lvlJc w:val="left"/>
      <w:pPr>
        <w:ind w:left="3675" w:hanging="0"/>
      </w:pPr>
    </w:lvl>
    <w:lvl w:ilvl="8">
      <w:start w:val="1"/>
      <w:numFmt w:val="decimal"/>
      <w:suff w:val="tab"/>
      <w:lvlText w:val="%1.%2.%3.%4.%5.%6.%7.%8.%9."/>
      <w:lvlJc w:val="left"/>
      <w:pPr>
        <w:ind w:left="4200" w:hanging="0"/>
      </w:pPr>
    </w:lvl>
  </w:abstractNum>
  <w:abstractNum w:abstractNumId="7">
    <w:multiLevelType w:val="hybridMultilevel"/>
    <w:name w:val="Нумерованный список 5"/>
    <w:lvl w:ilvl="0">
      <w:numFmt w:val="bullet"/>
      <w:suff w:val="tab"/>
      <w:lvlText w:val="-"/>
      <w:lvlJc w:val="left"/>
      <w:pPr>
        <w:ind w:left="0" w:hanging="0"/>
      </w:pPr>
      <w:rPr>
        <w:rFonts w:ascii="Times New Roman" w:hAnsi="Times New Roman" w:eastAsia="Times New Roman" w:cs="Times New Roman"/>
        <w:b w:val="0"/>
        <w:smallCaps w:val="0"/>
        <w:color w:val="000000"/>
        <w:spacing w:val="-2" w:percent="98"/>
        <w:w w:val="100"/>
        <w:sz w:val="25"/>
        <w:szCs w:val="25"/>
        <w:u w:color="auto" w:val="none"/>
        <w:vertAlign w:val="baseline"/>
        <w:lang w:val="ru-ru"/>
      </w:rPr>
    </w:lvl>
    <w:lvl w:ilvl="1">
      <w:start w:val="0"/>
      <w:numFmt w:val="decimal"/>
      <w:suff w:val="tab"/>
      <w:lvlText w:val=""/>
      <w:lvlJc w:val="left"/>
      <w:pPr>
        <w:ind w:left="0" w:hanging="0"/>
      </w:pPr>
    </w:lvl>
    <w:lvl w:ilvl="2">
      <w:start w:val="0"/>
      <w:numFmt w:val="decimal"/>
      <w:suff w:val="tab"/>
      <w:lvlText w:val=""/>
      <w:lvlJc w:val="left"/>
      <w:pPr>
        <w:ind w:left="0" w:hanging="0"/>
      </w:pPr>
    </w:lvl>
    <w:lvl w:ilvl="3">
      <w:start w:val="0"/>
      <w:numFmt w:val="decimal"/>
      <w:suff w:val="tab"/>
      <w:lvlText w:val=""/>
      <w:lvlJc w:val="left"/>
      <w:pPr>
        <w:ind w:left="0" w:hanging="0"/>
      </w:pPr>
    </w:lvl>
    <w:lvl w:ilvl="4">
      <w:start w:val="0"/>
      <w:numFmt w:val="decimal"/>
      <w:suff w:val="tab"/>
      <w:lvlText w:val=""/>
      <w:lvlJc w:val="left"/>
      <w:pPr>
        <w:ind w:left="0" w:hanging="0"/>
      </w:pPr>
    </w:lvl>
    <w:lvl w:ilvl="5">
      <w:start w:val="0"/>
      <w:numFmt w:val="decimal"/>
      <w:suff w:val="tab"/>
      <w:lvlText w:val=""/>
      <w:lvlJc w:val="left"/>
      <w:pPr>
        <w:ind w:left="0" w:hanging="0"/>
      </w:pPr>
    </w:lvl>
    <w:lvl w:ilvl="6">
      <w:start w:val="0"/>
      <w:numFmt w:val="decimal"/>
      <w:suff w:val="tab"/>
      <w:lvlText w:val=""/>
      <w:lvlJc w:val="left"/>
      <w:pPr>
        <w:ind w:left="0" w:hanging="0"/>
      </w:pPr>
    </w:lvl>
    <w:lvl w:ilvl="7">
      <w:start w:val="0"/>
      <w:numFmt w:val="decimal"/>
      <w:suff w:val="tab"/>
      <w:lvlText w:val=""/>
      <w:lvlJc w:val="left"/>
      <w:pPr>
        <w:ind w:left="0" w:hanging="0"/>
      </w:pPr>
    </w:lvl>
    <w:lvl w:ilvl="8">
      <w:start w:val="0"/>
      <w:numFmt w:val="decimal"/>
      <w:suff w:val="tab"/>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62"/>
  <w:view w:val="print"/>
  <w:defaultTabStop w:val="708"/>
  <w:autoHyphenation w:val="0"/>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4"/>
    <w:tmReviewMarkIns w:val="4"/>
    <w:tmReviewColorIns w:val="-1"/>
    <w:tmReviewMarkDel w:val="6"/>
    <w:tmReviewColorDel w:val="-1"/>
    <w:tmReviewMarkFmt w:val="1"/>
    <w:tmReviewColorFmt w:val="-1"/>
    <w:tmReviewMarkLn w:val="1"/>
    <w:tmReviewColorLn w:val="0"/>
    <w:tmReviewToolTip w:val="0"/>
  </w:tmReviewPr>
  <w:tmLastPos>
    <w:tmLastPosPage w:val="2"/>
    <w:tmLastPosSelect w:val="1"/>
    <w:tmLastPosFrameIdx w:val="0"/>
    <w:tmLastPosCaret>
      <w:tmLastPosPgfIdx w:val="50"/>
      <w:tmLastPosIdx w:val="982"/>
    </w:tmLastPosCaret>
    <w:tmLastPosAnchor>
      <w:tmLastPosPgfIdx w:val="50"/>
      <w:tmLastPosIdx w:val="972"/>
    </w:tmLastPosAnchor>
    <w:tmLastPosTblRect w:left="0" w:top="0" w:right="0" w:bottom="0"/>
  </w:tmLastPos>
  <w:tmAppRevision w:date="1787778725"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ru-ru" w:eastAsia="ru-ru"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sz w:val="24"/>
      <w:szCs w:val="24"/>
    </w:rPr>
  </w:style>
  <w:style w:type="paragraph" w:styleId="para1" w:customStyle="1">
    <w:name w:val="ConsNormal"/>
    <w:qFormat/>
    <w:pPr>
      <w:ind w:right="19772" w:firstLine="720"/>
    </w:pPr>
    <w:rPr>
      <w:rFonts w:ascii="Arial" w:hAnsi="Arial" w:eastAsia="Calibri" w:cs="Arial"/>
      <w:sz w:val="22"/>
      <w:szCs w:val="22"/>
      <w:lang w:val="ru-ru" w:eastAsia="ru-ru" w:bidi="ar-sa"/>
    </w:rPr>
  </w:style>
  <w:style w:type="paragraph" w:styleId="para2">
    <w:name w:val="Body Text"/>
    <w:qFormat/>
    <w:basedOn w:val="para0"/>
    <w:pPr>
      <w:spacing/>
      <w:jc w:val="both"/>
    </w:pPr>
    <w:rPr>
      <w:szCs w:val="20"/>
    </w:rPr>
  </w:style>
  <w:style w:type="paragraph" w:styleId="para3" w:customStyle="1">
    <w:name w:val="Текст1"/>
    <w:qFormat/>
    <w:basedOn w:val="para0"/>
    <w:rPr>
      <w:rFonts w:ascii="Courier New" w:hAnsi="Courier New" w:cs="Courier New"/>
      <w:sz w:val="20"/>
      <w:szCs w:val="20"/>
    </w:rPr>
  </w:style>
  <w:style w:type="paragraph" w:styleId="para4" w:customStyle="1">
    <w:name w:val="ConsNonformat"/>
    <w:qFormat/>
    <w:pPr>
      <w:ind w:right="19772"/>
      <w:widowControl w:val="0"/>
    </w:pPr>
    <w:rPr>
      <w:rFonts w:ascii="Courier New" w:hAnsi="Courier New" w:eastAsia="Calibri" w:cs="Courier New"/>
      <w:sz w:val="22"/>
      <w:szCs w:val="22"/>
      <w:lang w:val="ru-ru" w:eastAsia="ru-ru" w:bidi="ar-sa"/>
    </w:rPr>
  </w:style>
  <w:style w:type="paragraph" w:styleId="para5">
    <w:name w:val="List Paragraph"/>
    <w:qFormat/>
    <w:basedOn w:val="para0"/>
    <w:pPr>
      <w:ind w:left="720"/>
      <w:spacing w:after="200" w:line="276" w:lineRule="auto"/>
      <w:contextualSpacing/>
    </w:pPr>
    <w:rPr>
      <w:rFonts w:ascii="Calibri" w:hAnsi="Calibri" w:eastAsia="Calibri"/>
      <w:sz w:val="22"/>
      <w:szCs w:val="22"/>
      <w:lang w:eastAsia="en-us"/>
    </w:rPr>
  </w:style>
  <w:style w:type="paragraph" w:styleId="para6" w:customStyle="1">
    <w:name w:val="ConsPlusNormal"/>
    <w:qFormat/>
    <w:rPr>
      <w:rFonts w:ascii="Arial" w:hAnsi="Arial" w:eastAsia="Calibri" w:cs="Arial"/>
      <w:sz w:val="22"/>
      <w:szCs w:val="22"/>
      <w:lang w:val="ru-ru" w:eastAsia="ru-ru" w:bidi="ar-sa"/>
    </w:rPr>
  </w:style>
  <w:style w:type="paragraph" w:styleId="para7">
    <w:name w:val="No Spacing"/>
    <w:qFormat/>
    <w:rPr>
      <w:rFonts w:ascii="Calibri" w:hAnsi="Calibri" w:eastAsia="Calibri"/>
      <w:sz w:val="24"/>
      <w:szCs w:val="24"/>
      <w:lang w:val="ru-ru" w:eastAsia="en-us" w:bidi="ar-sa"/>
    </w:rPr>
  </w:style>
  <w:style w:type="paragraph" w:styleId="para8" w:customStyle="1">
    <w:name w:val="Содержимое таблицы"/>
    <w:qFormat/>
    <w:basedOn w:val="para0"/>
    <w:pPr>
      <w:suppressAutoHyphens/>
      <w:hyphenationLines w:val="0"/>
      <w:suppressLineNumbers/>
      <w:widowControl w:val="0"/>
    </w:pPr>
    <w:rPr>
      <w:sz w:val="20"/>
      <w:szCs w:val="20"/>
      <w:lang w:eastAsia="zh-cn"/>
    </w:rPr>
  </w:style>
  <w:style w:type="paragraph" w:styleId="para9">
    <w:name w:val="Plain Text"/>
    <w:qFormat/>
    <w:basedOn w:val="para0"/>
    <w:rPr>
      <w:rFonts w:ascii="Courier New" w:hAnsi="Courier New" w:eastAsia="Calibri" w:cs="Courier New"/>
      <w:sz w:val="20"/>
      <w:szCs w:val="20"/>
    </w:rPr>
  </w:style>
  <w:style w:type="paragraph" w:styleId="para10" w:customStyle="1">
    <w:name w:val="Текст2"/>
    <w:qFormat/>
    <w:basedOn w:val="para0"/>
    <w:rPr>
      <w:rFonts w:ascii="Courier New" w:hAnsi="Courier New" w:cs="Courier New"/>
      <w:sz w:val="20"/>
      <w:szCs w:val="20"/>
    </w:rPr>
  </w:style>
  <w:style w:type="paragraph" w:styleId="para11">
    <w:name w:val="Balloon Text"/>
    <w:qFormat/>
    <w:basedOn w:val="para0"/>
    <w:rPr>
      <w:rFonts w:ascii="Tahoma" w:hAnsi="Tahoma" w:cs="Tahoma"/>
      <w:sz w:val="16"/>
      <w:szCs w:val="16"/>
    </w:rPr>
  </w:style>
  <w:style w:type="paragraph" w:styleId="para12" w:customStyle="1">
    <w:name w:val="Основной текст1"/>
    <w:qFormat/>
    <w:basedOn w:val="para0"/>
    <w:pPr>
      <w:spacing w:line="283" w:lineRule="exact"/>
      <w:jc w:val="both"/>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spacing w:val="-2" w:percent="98"/>
      <w:sz w:val="25"/>
      <w:szCs w:val="25"/>
    </w:rPr>
  </w:style>
  <w:style w:type="paragraph" w:styleId="para13">
    <w:name w:val="Header"/>
    <w:qFormat/>
    <w:basedOn w:val="para0"/>
    <w:pPr>
      <w:tabs defTabSz="708">
        <w:tab w:val="center" w:pos="4677" w:leader="none"/>
        <w:tab w:val="right" w:pos="9355" w:leader="none"/>
      </w:tabs>
    </w:pPr>
  </w:style>
  <w:style w:type="paragraph" w:styleId="para14">
    <w:name w:val="Footer"/>
    <w:qFormat/>
    <w:basedOn w:val="para0"/>
    <w:pPr>
      <w:tabs defTabSz="708">
        <w:tab w:val="center" w:pos="4677" w:leader="none"/>
        <w:tab w:val="right" w:pos="9355" w:leader="none"/>
      </w:tabs>
    </w:pPr>
  </w:style>
  <w:style w:type="paragraph" w:styleId="para15" w:customStyle="1">
    <w:name w:val="s_34"/>
    <w:qFormat/>
    <w:basedOn w:val="para0"/>
    <w:pPr>
      <w:spacing/>
      <w:jc w:val="center"/>
    </w:pPr>
    <w:rPr>
      <w:b/>
      <w:bCs/>
      <w:color w:val="011c29"/>
      <w:sz w:val="21"/>
      <w:szCs w:val="21"/>
    </w:rPr>
  </w:style>
  <w:style w:type="character" w:styleId="char0" w:default="1">
    <w:name w:val="Default Paragraph Font"/>
  </w:style>
  <w:style w:type="character" w:styleId="char1" w:customStyle="1">
    <w:name w:val="Основной текст Знак"/>
    <w:basedOn w:val="char0"/>
    <w:rPr>
      <w:rFonts w:ascii="Times New Roman" w:hAnsi="Times New Roman" w:cs="Times New Roman"/>
      <w:sz w:val="20"/>
      <w:szCs w:val="20"/>
      <w:lang w:eastAsia="ru-ru"/>
    </w:rPr>
  </w:style>
  <w:style w:type="character" w:styleId="char2" w:customStyle="1">
    <w:name w:val="Текст Знак"/>
    <w:basedOn w:val="char0"/>
    <w:rPr>
      <w:rFonts w:ascii="Courier New" w:hAnsi="Courier New" w:eastAsia="Times New Roman" w:cs="Courier New"/>
      <w:sz w:val="20"/>
      <w:szCs w:val="20"/>
    </w:rPr>
  </w:style>
  <w:style w:type="character" w:styleId="char3" w:customStyle="1">
    <w:name w:val="Текст выноски Знак"/>
    <w:basedOn w:val="char0"/>
    <w:rPr>
      <w:rFonts w:ascii="Tahoma" w:hAnsi="Tahoma" w:eastAsia="Times New Roman" w:cs="Tahoma"/>
      <w:sz w:val="16"/>
      <w:szCs w:val="16"/>
    </w:rPr>
  </w:style>
  <w:style w:type="character" w:styleId="char4" w:customStyle="1">
    <w:name w:val="Основной текст_"/>
    <w:basedOn w:val="char0"/>
    <w:rPr>
      <w:rFonts w:ascii="Times New Roman" w:hAnsi="Times New Roman" w:eastAsia="Times New Roman"/>
      <w:spacing w:val="-2" w:percent="98"/>
      <w:sz w:val="25"/>
      <w:szCs w:val="25"/>
      <w:shd w:val="clear" w:fill="ffffff"/>
    </w:rPr>
  </w:style>
  <w:style w:type="character" w:styleId="char5" w:customStyle="1">
    <w:name w:val="Верхний колонтитул Знак"/>
    <w:basedOn w:val="char0"/>
    <w:rPr>
      <w:rFonts w:ascii="Times New Roman" w:hAnsi="Times New Roman" w:eastAsia="Times New Roman"/>
      <w:sz w:val="24"/>
      <w:szCs w:val="24"/>
    </w:rPr>
  </w:style>
  <w:style w:type="character" w:styleId="char6" w:customStyle="1">
    <w:name w:val="Нижний колонтитул Знак"/>
    <w:basedOn w:val="char0"/>
    <w:rPr>
      <w:rFonts w:ascii="Times New Roman" w:hAnsi="Times New Roman" w:eastAsia="Times New Roman"/>
      <w:sz w:val="24"/>
      <w:szCs w:val="24"/>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Times New Roman"/>
        <w:sz w:val="22"/>
        <w:szCs w:val="22"/>
        <w:lang w:val="ru-ru" w:eastAsia="ru-ru"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sz w:val="24"/>
      <w:szCs w:val="24"/>
    </w:rPr>
  </w:style>
  <w:style w:type="paragraph" w:styleId="para1" w:customStyle="1">
    <w:name w:val="ConsNormal"/>
    <w:qFormat/>
    <w:pPr>
      <w:ind w:right="19772" w:firstLine="720"/>
    </w:pPr>
    <w:rPr>
      <w:rFonts w:ascii="Arial" w:hAnsi="Arial" w:eastAsia="Calibri" w:cs="Arial"/>
      <w:sz w:val="22"/>
      <w:szCs w:val="22"/>
      <w:lang w:val="ru-ru" w:eastAsia="ru-ru" w:bidi="ar-sa"/>
    </w:rPr>
  </w:style>
  <w:style w:type="paragraph" w:styleId="para2">
    <w:name w:val="Body Text"/>
    <w:qFormat/>
    <w:basedOn w:val="para0"/>
    <w:pPr>
      <w:spacing/>
      <w:jc w:val="both"/>
    </w:pPr>
    <w:rPr>
      <w:szCs w:val="20"/>
    </w:rPr>
  </w:style>
  <w:style w:type="paragraph" w:styleId="para3" w:customStyle="1">
    <w:name w:val="Текст1"/>
    <w:qFormat/>
    <w:basedOn w:val="para0"/>
    <w:rPr>
      <w:rFonts w:ascii="Courier New" w:hAnsi="Courier New" w:cs="Courier New"/>
      <w:sz w:val="20"/>
      <w:szCs w:val="20"/>
    </w:rPr>
  </w:style>
  <w:style w:type="paragraph" w:styleId="para4" w:customStyle="1">
    <w:name w:val="ConsNonformat"/>
    <w:qFormat/>
    <w:pPr>
      <w:ind w:right="19772"/>
      <w:widowControl w:val="0"/>
    </w:pPr>
    <w:rPr>
      <w:rFonts w:ascii="Courier New" w:hAnsi="Courier New" w:eastAsia="Calibri" w:cs="Courier New"/>
      <w:sz w:val="22"/>
      <w:szCs w:val="22"/>
      <w:lang w:val="ru-ru" w:eastAsia="ru-ru" w:bidi="ar-sa"/>
    </w:rPr>
  </w:style>
  <w:style w:type="paragraph" w:styleId="para5">
    <w:name w:val="List Paragraph"/>
    <w:qFormat/>
    <w:basedOn w:val="para0"/>
    <w:pPr>
      <w:ind w:left="720"/>
      <w:spacing w:after="200" w:line="276" w:lineRule="auto"/>
      <w:contextualSpacing/>
    </w:pPr>
    <w:rPr>
      <w:rFonts w:ascii="Calibri" w:hAnsi="Calibri" w:eastAsia="Calibri"/>
      <w:sz w:val="22"/>
      <w:szCs w:val="22"/>
      <w:lang w:eastAsia="en-us"/>
    </w:rPr>
  </w:style>
  <w:style w:type="paragraph" w:styleId="para6" w:customStyle="1">
    <w:name w:val="ConsPlusNormal"/>
    <w:qFormat/>
    <w:rPr>
      <w:rFonts w:ascii="Arial" w:hAnsi="Arial" w:eastAsia="Calibri" w:cs="Arial"/>
      <w:sz w:val="22"/>
      <w:szCs w:val="22"/>
      <w:lang w:val="ru-ru" w:eastAsia="ru-ru" w:bidi="ar-sa"/>
    </w:rPr>
  </w:style>
  <w:style w:type="paragraph" w:styleId="para7">
    <w:name w:val="No Spacing"/>
    <w:qFormat/>
    <w:rPr>
      <w:rFonts w:ascii="Calibri" w:hAnsi="Calibri" w:eastAsia="Calibri"/>
      <w:sz w:val="24"/>
      <w:szCs w:val="24"/>
      <w:lang w:val="ru-ru" w:eastAsia="en-us" w:bidi="ar-sa"/>
    </w:rPr>
  </w:style>
  <w:style w:type="paragraph" w:styleId="para8" w:customStyle="1">
    <w:name w:val="Содержимое таблицы"/>
    <w:qFormat/>
    <w:basedOn w:val="para0"/>
    <w:pPr>
      <w:suppressAutoHyphens/>
      <w:hyphenationLines w:val="0"/>
      <w:suppressLineNumbers/>
      <w:widowControl w:val="0"/>
    </w:pPr>
    <w:rPr>
      <w:sz w:val="20"/>
      <w:szCs w:val="20"/>
      <w:lang w:eastAsia="zh-cn"/>
    </w:rPr>
  </w:style>
  <w:style w:type="paragraph" w:styleId="para9">
    <w:name w:val="Plain Text"/>
    <w:qFormat/>
    <w:basedOn w:val="para0"/>
    <w:rPr>
      <w:rFonts w:ascii="Courier New" w:hAnsi="Courier New" w:eastAsia="Calibri" w:cs="Courier New"/>
      <w:sz w:val="20"/>
      <w:szCs w:val="20"/>
    </w:rPr>
  </w:style>
  <w:style w:type="paragraph" w:styleId="para10" w:customStyle="1">
    <w:name w:val="Текст2"/>
    <w:qFormat/>
    <w:basedOn w:val="para0"/>
    <w:rPr>
      <w:rFonts w:ascii="Courier New" w:hAnsi="Courier New" w:cs="Courier New"/>
      <w:sz w:val="20"/>
      <w:szCs w:val="20"/>
    </w:rPr>
  </w:style>
  <w:style w:type="paragraph" w:styleId="para11">
    <w:name w:val="Balloon Text"/>
    <w:qFormat/>
    <w:basedOn w:val="para0"/>
    <w:rPr>
      <w:rFonts w:ascii="Tahoma" w:hAnsi="Tahoma" w:cs="Tahoma"/>
      <w:sz w:val="16"/>
      <w:szCs w:val="16"/>
    </w:rPr>
  </w:style>
  <w:style w:type="paragraph" w:styleId="para12" w:customStyle="1">
    <w:name w:val="Основной текст1"/>
    <w:qFormat/>
    <w:basedOn w:val="para0"/>
    <w:pPr>
      <w:spacing w:line="283" w:lineRule="exact"/>
      <w:jc w:val="both"/>
      <w:widowContro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6553856, 16777215, 16777215"/>
    </w:pPr>
    <w:rPr>
      <w:spacing w:val="-2" w:percent="98"/>
      <w:sz w:val="25"/>
      <w:szCs w:val="25"/>
    </w:rPr>
  </w:style>
  <w:style w:type="paragraph" w:styleId="para13">
    <w:name w:val="Header"/>
    <w:qFormat/>
    <w:basedOn w:val="para0"/>
    <w:pPr>
      <w:tabs defTabSz="708">
        <w:tab w:val="center" w:pos="4677" w:leader="none"/>
        <w:tab w:val="right" w:pos="9355" w:leader="none"/>
      </w:tabs>
    </w:pPr>
  </w:style>
  <w:style w:type="paragraph" w:styleId="para14">
    <w:name w:val="Footer"/>
    <w:qFormat/>
    <w:basedOn w:val="para0"/>
    <w:pPr>
      <w:tabs defTabSz="708">
        <w:tab w:val="center" w:pos="4677" w:leader="none"/>
        <w:tab w:val="right" w:pos="9355" w:leader="none"/>
      </w:tabs>
    </w:pPr>
  </w:style>
  <w:style w:type="paragraph" w:styleId="para15" w:customStyle="1">
    <w:name w:val="s_34"/>
    <w:qFormat/>
    <w:basedOn w:val="para0"/>
    <w:pPr>
      <w:spacing/>
      <w:jc w:val="center"/>
    </w:pPr>
    <w:rPr>
      <w:b/>
      <w:bCs/>
      <w:color w:val="011c29"/>
      <w:sz w:val="21"/>
      <w:szCs w:val="21"/>
    </w:rPr>
  </w:style>
  <w:style w:type="character" w:styleId="char0" w:default="1">
    <w:name w:val="Default Paragraph Font"/>
  </w:style>
  <w:style w:type="character" w:styleId="char1" w:customStyle="1">
    <w:name w:val="Основной текст Знак"/>
    <w:basedOn w:val="char0"/>
    <w:rPr>
      <w:rFonts w:ascii="Times New Roman" w:hAnsi="Times New Roman" w:cs="Times New Roman"/>
      <w:sz w:val="20"/>
      <w:szCs w:val="20"/>
      <w:lang w:eastAsia="ru-ru"/>
    </w:rPr>
  </w:style>
  <w:style w:type="character" w:styleId="char2" w:customStyle="1">
    <w:name w:val="Текст Знак"/>
    <w:basedOn w:val="char0"/>
    <w:rPr>
      <w:rFonts w:ascii="Courier New" w:hAnsi="Courier New" w:eastAsia="Times New Roman" w:cs="Courier New"/>
      <w:sz w:val="20"/>
      <w:szCs w:val="20"/>
    </w:rPr>
  </w:style>
  <w:style w:type="character" w:styleId="char3" w:customStyle="1">
    <w:name w:val="Текст выноски Знак"/>
    <w:basedOn w:val="char0"/>
    <w:rPr>
      <w:rFonts w:ascii="Tahoma" w:hAnsi="Tahoma" w:eastAsia="Times New Roman" w:cs="Tahoma"/>
      <w:sz w:val="16"/>
      <w:szCs w:val="16"/>
    </w:rPr>
  </w:style>
  <w:style w:type="character" w:styleId="char4" w:customStyle="1">
    <w:name w:val="Основной текст_"/>
    <w:basedOn w:val="char0"/>
    <w:rPr>
      <w:rFonts w:ascii="Times New Roman" w:hAnsi="Times New Roman" w:eastAsia="Times New Roman"/>
      <w:spacing w:val="-2" w:percent="98"/>
      <w:sz w:val="25"/>
      <w:szCs w:val="25"/>
      <w:shd w:val="clear" w:fill="ffffff"/>
    </w:rPr>
  </w:style>
  <w:style w:type="character" w:styleId="char5" w:customStyle="1">
    <w:name w:val="Верхний колонтитул Знак"/>
    <w:basedOn w:val="char0"/>
    <w:rPr>
      <w:rFonts w:ascii="Times New Roman" w:hAnsi="Times New Roman" w:eastAsia="Times New Roman"/>
      <w:sz w:val="24"/>
      <w:szCs w:val="24"/>
    </w:rPr>
  </w:style>
  <w:style w:type="character" w:styleId="char6" w:customStyle="1">
    <w:name w:val="Нижний колонтитул Знак"/>
    <w:basedOn w:val="char0"/>
    <w:rPr>
      <w:rFonts w:ascii="Times New Roman" w:hAnsi="Times New Roman" w:eastAsia="Times New Roman"/>
      <w:sz w:val="24"/>
      <w:szCs w:val="24"/>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consultantplus://offline/ref=FC7B1E727AEDD06B1400A8B9CF04AC562F8BAD0AB3290E6C1F23EB5F075DnFH" TargetMode="External"/><Relationship Id="rId9" Type="http://schemas.openxmlformats.org/officeDocument/2006/relationships/hyperlink" Target="consultantplus://offline/ref=FC7B1E727AEDD06B1400A8B9CF04AC562B88A008B32B5366177AE75D00D08F15CCADD8B3D559BA57nEH"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
  <cp:revision>4</cp:revision>
  <cp:lastPrinted>2024-08-08T10:20:00Z</cp:lastPrinted>
  <dcterms:created xsi:type="dcterms:W3CDTF">2026-08-26T14:09:00Z</dcterms:created>
  <dcterms:modified xsi:type="dcterms:W3CDTF">2026-08-26T21:12:05Z</dcterms:modified>
</cp:coreProperties>
</file>